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F602"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246"/>
        <w:gridCol w:w="567"/>
        <w:gridCol w:w="567"/>
        <w:gridCol w:w="850"/>
        <w:gridCol w:w="3119"/>
      </w:tblGrid>
      <w:tr w:rsidR="00227EFB" w14:paraId="7723AD6E" w14:textId="77777777" w:rsidTr="00514CB5">
        <w:trPr>
          <w:cantSplit/>
          <w:trHeight w:val="1269"/>
        </w:trPr>
        <w:tc>
          <w:tcPr>
            <w:tcW w:w="10349" w:type="dxa"/>
            <w:gridSpan w:val="5"/>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767792E9" w14:textId="77777777" w:rsidR="00F631CC" w:rsidRDefault="00F631CC" w:rsidP="00345CF7">
            <w:pPr>
              <w:widowControl w:val="0"/>
              <w:shd w:val="clear" w:color="auto" w:fill="FF0000"/>
              <w:jc w:val="center"/>
              <w:rPr>
                <w:rFonts w:ascii="Book Antiqua" w:hAnsi="Book Antiqua"/>
                <w:b/>
                <w:snapToGrid w:val="0"/>
                <w:sz w:val="24"/>
                <w:szCs w:val="24"/>
              </w:rPr>
            </w:pPr>
          </w:p>
          <w:p w14:paraId="644BE09D" w14:textId="77777777" w:rsidR="00B30D36" w:rsidRPr="009517DE" w:rsidRDefault="00227EFB" w:rsidP="00345CF7">
            <w:pPr>
              <w:widowControl w:val="0"/>
              <w:shd w:val="clear" w:color="auto" w:fill="FF0000"/>
              <w:jc w:val="center"/>
              <w:rPr>
                <w:rFonts w:ascii="Book Antiqua" w:hAnsi="Book Antiqua"/>
                <w:b/>
                <w:snapToGrid w:val="0"/>
                <w:sz w:val="24"/>
                <w:szCs w:val="24"/>
              </w:rPr>
            </w:pPr>
            <w:r w:rsidRPr="009517DE">
              <w:rPr>
                <w:rFonts w:ascii="Book Antiqua" w:hAnsi="Book Antiqua"/>
                <w:b/>
                <w:snapToGrid w:val="0"/>
                <w:sz w:val="24"/>
                <w:szCs w:val="24"/>
              </w:rPr>
              <w:t>C</w:t>
            </w:r>
            <w:r w:rsidR="00B22885" w:rsidRPr="009517DE">
              <w:rPr>
                <w:rFonts w:ascii="Book Antiqua" w:hAnsi="Book Antiqua"/>
                <w:b/>
                <w:snapToGrid w:val="0"/>
                <w:sz w:val="24"/>
                <w:szCs w:val="24"/>
              </w:rPr>
              <w:t>HECK LIST</w:t>
            </w:r>
          </w:p>
          <w:p w14:paraId="4DF4DD7F" w14:textId="77777777" w:rsidR="009517DE" w:rsidRPr="009517DE" w:rsidRDefault="009517DE" w:rsidP="00345CF7">
            <w:pPr>
              <w:widowControl w:val="0"/>
              <w:shd w:val="clear" w:color="auto" w:fill="FF0000"/>
              <w:jc w:val="center"/>
              <w:rPr>
                <w:rFonts w:ascii="Book Antiqua" w:hAnsi="Book Antiqua"/>
                <w:b/>
                <w:snapToGrid w:val="0"/>
                <w:sz w:val="24"/>
                <w:szCs w:val="24"/>
              </w:rPr>
            </w:pPr>
          </w:p>
          <w:p w14:paraId="45E231A5" w14:textId="3B0E48C0" w:rsidR="009517DE" w:rsidRPr="009517DE" w:rsidRDefault="009517DE" w:rsidP="00AF7992">
            <w:pPr>
              <w:widowControl w:val="0"/>
              <w:shd w:val="clear" w:color="auto" w:fill="FF0000"/>
              <w:jc w:val="center"/>
              <w:rPr>
                <w:rFonts w:ascii="Book Antiqua" w:hAnsi="Book Antiqua"/>
                <w:b/>
                <w:snapToGrid w:val="0"/>
                <w:sz w:val="24"/>
                <w:szCs w:val="24"/>
              </w:rPr>
            </w:pPr>
            <w:r w:rsidRPr="009517DE">
              <w:rPr>
                <w:rFonts w:ascii="Book Antiqua" w:hAnsi="Book Antiqua"/>
                <w:b/>
                <w:snapToGrid w:val="0"/>
                <w:sz w:val="24"/>
                <w:szCs w:val="24"/>
              </w:rPr>
              <w:t>“PROVENTI DA SANZIONI AL CODICE DELLA STRADA”</w:t>
            </w:r>
          </w:p>
          <w:p w14:paraId="11975EFC" w14:textId="77777777" w:rsidR="00227EFB" w:rsidRPr="009517DE" w:rsidRDefault="00AF7992" w:rsidP="009517DE">
            <w:pPr>
              <w:widowControl w:val="0"/>
              <w:shd w:val="clear" w:color="auto" w:fill="FF0000"/>
              <w:jc w:val="center"/>
              <w:rPr>
                <w:rFonts w:ascii="Book Antiqua" w:hAnsi="Book Antiqua"/>
                <w:b/>
                <w:snapToGrid w:val="0"/>
                <w:sz w:val="24"/>
                <w:szCs w:val="24"/>
              </w:rPr>
            </w:pPr>
            <w:r w:rsidRPr="009517DE">
              <w:rPr>
                <w:rFonts w:ascii="Book Antiqua" w:hAnsi="Book Antiqua"/>
                <w:b/>
                <w:snapToGrid w:val="0"/>
                <w:sz w:val="24"/>
                <w:szCs w:val="24"/>
              </w:rPr>
              <w:t xml:space="preserve"> </w:t>
            </w:r>
          </w:p>
        </w:tc>
      </w:tr>
      <w:tr w:rsidR="00227EFB" w14:paraId="6B618E05" w14:textId="77777777" w:rsidTr="00514CB5">
        <w:trPr>
          <w:cantSplit/>
          <w:trHeight w:val="952"/>
        </w:trPr>
        <w:tc>
          <w:tcPr>
            <w:tcW w:w="10349" w:type="dxa"/>
            <w:gridSpan w:val="5"/>
            <w:tcBorders>
              <w:top w:val="single" w:sz="4" w:space="0" w:color="auto"/>
              <w:left w:val="single" w:sz="4" w:space="0" w:color="auto"/>
              <w:bottom w:val="single" w:sz="4" w:space="0" w:color="auto"/>
              <w:right w:val="single" w:sz="6" w:space="0" w:color="auto"/>
            </w:tcBorders>
            <w:shd w:val="pct12" w:color="auto" w:fill="auto"/>
          </w:tcPr>
          <w:p w14:paraId="2EC14488" w14:textId="77777777" w:rsidR="00AF7992" w:rsidRPr="009517DE" w:rsidRDefault="00AF7992" w:rsidP="00AF7992">
            <w:pPr>
              <w:widowControl w:val="0"/>
              <w:shd w:val="clear" w:color="auto" w:fill="FF0000"/>
              <w:jc w:val="center"/>
              <w:rPr>
                <w:rFonts w:ascii="Book Antiqua" w:hAnsi="Book Antiqua"/>
                <w:b/>
                <w:snapToGrid w:val="0"/>
                <w:sz w:val="24"/>
                <w:szCs w:val="24"/>
              </w:rPr>
            </w:pPr>
          </w:p>
          <w:p w14:paraId="476EDAB7" w14:textId="77777777" w:rsidR="00227EFB" w:rsidRPr="009517DE" w:rsidRDefault="00AF7992" w:rsidP="00AF7992">
            <w:pPr>
              <w:widowControl w:val="0"/>
              <w:shd w:val="clear" w:color="auto" w:fill="FF0000"/>
              <w:jc w:val="center"/>
              <w:rPr>
                <w:rFonts w:ascii="Book Antiqua" w:hAnsi="Book Antiqua"/>
                <w:b/>
                <w:snapToGrid w:val="0"/>
                <w:sz w:val="24"/>
                <w:szCs w:val="24"/>
              </w:rPr>
            </w:pPr>
            <w:r w:rsidRPr="009517DE">
              <w:rPr>
                <w:rFonts w:ascii="Book Antiqua" w:hAnsi="Book Antiqua"/>
                <w:b/>
                <w:snapToGrid w:val="0"/>
                <w:sz w:val="24"/>
                <w:szCs w:val="24"/>
              </w:rPr>
              <w:t>Punto 3.3, 3.4, 3,4,</w:t>
            </w:r>
            <w:proofErr w:type="gramStart"/>
            <w:r w:rsidRPr="009517DE">
              <w:rPr>
                <w:rFonts w:ascii="Book Antiqua" w:hAnsi="Book Antiqua"/>
                <w:b/>
                <w:snapToGrid w:val="0"/>
                <w:sz w:val="24"/>
                <w:szCs w:val="24"/>
              </w:rPr>
              <w:t>3  PVC</w:t>
            </w:r>
            <w:proofErr w:type="gramEnd"/>
            <w:r w:rsidRPr="009517DE">
              <w:rPr>
                <w:rFonts w:ascii="Book Antiqua" w:hAnsi="Book Antiqua"/>
                <w:b/>
                <w:snapToGrid w:val="0"/>
                <w:sz w:val="24"/>
                <w:szCs w:val="24"/>
              </w:rPr>
              <w:t xml:space="preserve"> n. 3 e punto 5.2 PVC n.</w:t>
            </w:r>
            <w:r w:rsidR="003D67F2">
              <w:rPr>
                <w:rFonts w:ascii="Book Antiqua" w:hAnsi="Book Antiqua"/>
                <w:b/>
                <w:snapToGrid w:val="0"/>
                <w:sz w:val="24"/>
                <w:szCs w:val="24"/>
              </w:rPr>
              <w:t xml:space="preserve"> </w:t>
            </w:r>
            <w:r w:rsidRPr="009517DE">
              <w:rPr>
                <w:rFonts w:ascii="Book Antiqua" w:hAnsi="Book Antiqua"/>
                <w:b/>
                <w:snapToGrid w:val="0"/>
                <w:sz w:val="24"/>
                <w:szCs w:val="24"/>
              </w:rPr>
              <w:t>5</w:t>
            </w:r>
          </w:p>
          <w:p w14:paraId="02C978FF" w14:textId="77777777" w:rsidR="009517DE" w:rsidRPr="009517DE" w:rsidRDefault="009517DE" w:rsidP="00AF7992">
            <w:pPr>
              <w:widowControl w:val="0"/>
              <w:shd w:val="clear" w:color="auto" w:fill="FF0000"/>
              <w:jc w:val="center"/>
              <w:rPr>
                <w:rFonts w:ascii="Book Antiqua" w:hAnsi="Book Antiqua"/>
                <w:b/>
                <w:snapToGrid w:val="0"/>
                <w:sz w:val="24"/>
                <w:szCs w:val="24"/>
              </w:rPr>
            </w:pPr>
          </w:p>
          <w:p w14:paraId="0633924D" w14:textId="77777777" w:rsidR="009517DE" w:rsidRPr="009517DE" w:rsidRDefault="009517DE" w:rsidP="00AF7992">
            <w:pPr>
              <w:widowControl w:val="0"/>
              <w:shd w:val="clear" w:color="auto" w:fill="FF0000"/>
              <w:jc w:val="center"/>
              <w:rPr>
                <w:rFonts w:ascii="Book Antiqua" w:hAnsi="Book Antiqua"/>
                <w:b/>
                <w:snapToGrid w:val="0"/>
                <w:sz w:val="18"/>
                <w:szCs w:val="18"/>
              </w:rPr>
            </w:pPr>
            <w:r w:rsidRPr="009517DE">
              <w:rPr>
                <w:rFonts w:ascii="Book Antiqua" w:hAnsi="Book Antiqua"/>
                <w:b/>
                <w:snapToGrid w:val="0"/>
                <w:sz w:val="18"/>
                <w:szCs w:val="18"/>
              </w:rPr>
              <w:t>art. 208, comma 1 e segg. e art. 142 comma 12 bis e segg. del D.Lgs n.285/92</w:t>
            </w:r>
          </w:p>
          <w:p w14:paraId="03804847" w14:textId="77777777" w:rsidR="00802D40" w:rsidRPr="009517DE" w:rsidRDefault="00802D40" w:rsidP="00AF7992">
            <w:pPr>
              <w:shd w:val="clear" w:color="auto" w:fill="FF0000"/>
              <w:tabs>
                <w:tab w:val="left" w:pos="1171"/>
              </w:tabs>
              <w:rPr>
                <w:rFonts w:ascii="Book Antiqua" w:hAnsi="Book Antiqua"/>
                <w:b/>
                <w:snapToGrid w:val="0"/>
                <w:sz w:val="24"/>
                <w:szCs w:val="24"/>
              </w:rPr>
            </w:pPr>
          </w:p>
        </w:tc>
      </w:tr>
      <w:tr w:rsidR="002B281A" w:rsidRPr="003272B0" w14:paraId="35A5A652" w14:textId="77777777" w:rsidTr="00374CBB">
        <w:trPr>
          <w:cantSplit/>
          <w:trHeight w:val="284"/>
        </w:trPr>
        <w:tc>
          <w:tcPr>
            <w:tcW w:w="10349" w:type="dxa"/>
            <w:gridSpan w:val="5"/>
            <w:tcBorders>
              <w:left w:val="single" w:sz="6" w:space="0" w:color="auto"/>
              <w:bottom w:val="single" w:sz="4" w:space="0" w:color="auto"/>
              <w:right w:val="single" w:sz="6" w:space="0" w:color="auto"/>
            </w:tcBorders>
            <w:shd w:val="clear" w:color="auto" w:fill="auto"/>
          </w:tcPr>
          <w:p w14:paraId="64280760" w14:textId="6761D963" w:rsidR="002B281A" w:rsidRPr="008F5865" w:rsidRDefault="002B281A" w:rsidP="002B281A">
            <w:pPr>
              <w:rPr>
                <w:rFonts w:ascii="Book Antiqua" w:hAnsi="Book Antiqua"/>
                <w:b/>
              </w:rPr>
            </w:pPr>
            <w:r w:rsidRPr="008F5865">
              <w:rPr>
                <w:rFonts w:ascii="Book Antiqua" w:hAnsi="Book Antiqua"/>
                <w:b/>
              </w:rPr>
              <w:t>Ente……………………</w:t>
            </w:r>
            <w:proofErr w:type="gramStart"/>
            <w:r w:rsidRPr="008F5865">
              <w:rPr>
                <w:rFonts w:ascii="Book Antiqua" w:hAnsi="Book Antiqua"/>
                <w:b/>
              </w:rPr>
              <w:t>…….</w:t>
            </w:r>
            <w:proofErr w:type="gramEnd"/>
            <w:r w:rsidRPr="008F5865">
              <w:rPr>
                <w:rFonts w:ascii="Book Antiqua" w:hAnsi="Book Antiqua"/>
                <w:b/>
              </w:rPr>
              <w:t>.</w:t>
            </w:r>
            <w:r w:rsidR="00ED2FA8">
              <w:rPr>
                <w:rFonts w:ascii="Book Antiqua" w:hAnsi="Book Antiqua"/>
                <w:b/>
              </w:rPr>
              <w:t xml:space="preserve">                                                                                           </w:t>
            </w:r>
          </w:p>
          <w:p w14:paraId="6EAFC83C" w14:textId="77777777" w:rsidR="002B281A" w:rsidRPr="008F5865" w:rsidRDefault="002B281A" w:rsidP="002B281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roofErr w:type="gramStart"/>
            <w:r w:rsidRPr="008F5865">
              <w:rPr>
                <w:rFonts w:ascii="Book Antiqua" w:hAnsi="Book Antiqua"/>
              </w:rPr>
              <w:t>…….</w:t>
            </w:r>
            <w:proofErr w:type="gramEnd"/>
            <w:r w:rsidRPr="008F5865">
              <w:rPr>
                <w:rFonts w:ascii="Book Antiqua" w:hAnsi="Book Antiqua"/>
              </w:rPr>
              <w:t>.</w:t>
            </w:r>
          </w:p>
          <w:p w14:paraId="68A1A83F" w14:textId="77777777" w:rsidR="002B281A" w:rsidRDefault="002B281A" w:rsidP="002B281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w:t>
            </w:r>
            <w:proofErr w:type="gramStart"/>
            <w:r w:rsidRPr="008F5865">
              <w:rPr>
                <w:rFonts w:ascii="Book Antiqua" w:hAnsi="Book Antiqua"/>
              </w:rPr>
              <w:t>…….</w:t>
            </w:r>
            <w:proofErr w:type="gramEnd"/>
            <w:r w:rsidRPr="008F5865">
              <w:rPr>
                <w:rFonts w:ascii="Book Antiqua" w:hAnsi="Book Antiqua"/>
              </w:rPr>
              <w:t xml:space="preserve">.                                                                    </w:t>
            </w:r>
            <w:r>
              <w:rPr>
                <w:rFonts w:ascii="Book Antiqua" w:hAnsi="Book Antiqua"/>
              </w:rPr>
              <w:t xml:space="preserve">     </w:t>
            </w:r>
            <w:r w:rsidRPr="008F5865">
              <w:rPr>
                <w:rFonts w:ascii="Book Antiqua" w:hAnsi="Book Antiqua"/>
              </w:rPr>
              <w:t>Data……………………</w:t>
            </w:r>
            <w:proofErr w:type="gramStart"/>
            <w:r w:rsidRPr="008F5865">
              <w:rPr>
                <w:rFonts w:ascii="Book Antiqua" w:hAnsi="Book Antiqua"/>
              </w:rPr>
              <w:t>…….</w:t>
            </w:r>
            <w:proofErr w:type="gramEnd"/>
            <w:r w:rsidRPr="008F5865">
              <w:rPr>
                <w:rFonts w:ascii="Book Antiqua" w:hAnsi="Book Antiqua"/>
              </w:rPr>
              <w:t>.</w:t>
            </w:r>
          </w:p>
          <w:p w14:paraId="1CC05BDF" w14:textId="77777777" w:rsidR="002B281A" w:rsidRDefault="002B281A" w:rsidP="002B281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w:t>
            </w:r>
            <w:proofErr w:type="gramStart"/>
            <w:r w:rsidRPr="008F5865">
              <w:rPr>
                <w:rFonts w:ascii="Book Antiqua" w:hAnsi="Book Antiqua"/>
              </w:rPr>
              <w:t>…….</w:t>
            </w:r>
            <w:proofErr w:type="gramEnd"/>
            <w:r w:rsidRPr="008F5865">
              <w:rPr>
                <w:rFonts w:ascii="Book Antiqua" w:hAnsi="Book Antiqua"/>
              </w:rPr>
              <w:t xml:space="preserve">.                                                                    </w:t>
            </w:r>
            <w:r>
              <w:rPr>
                <w:rFonts w:ascii="Book Antiqua" w:hAnsi="Book Antiqua"/>
              </w:rPr>
              <w:t xml:space="preserve">     </w:t>
            </w:r>
            <w:r w:rsidRPr="008F5865">
              <w:rPr>
                <w:rFonts w:ascii="Book Antiqua" w:hAnsi="Book Antiqua"/>
              </w:rPr>
              <w:t>Data……………………</w:t>
            </w:r>
            <w:proofErr w:type="gramStart"/>
            <w:r w:rsidRPr="008F5865">
              <w:rPr>
                <w:rFonts w:ascii="Book Antiqua" w:hAnsi="Book Antiqua"/>
              </w:rPr>
              <w:t>…….</w:t>
            </w:r>
            <w:proofErr w:type="gramEnd"/>
            <w:r w:rsidRPr="008F5865">
              <w:rPr>
                <w:rFonts w:ascii="Book Antiqua" w:hAnsi="Book Antiqua"/>
              </w:rPr>
              <w:t>.</w:t>
            </w:r>
          </w:p>
          <w:p w14:paraId="6E39ACC3" w14:textId="77777777" w:rsidR="002B281A" w:rsidRDefault="002B281A" w:rsidP="00A17C3E">
            <w:pPr>
              <w:widowControl w:val="0"/>
              <w:shd w:val="pct5" w:color="auto" w:fill="auto"/>
              <w:spacing w:line="276" w:lineRule="auto"/>
              <w:jc w:val="center"/>
              <w:rPr>
                <w:rFonts w:ascii="Book Antiqua" w:hAnsi="Book Antiqua"/>
                <w:b/>
                <w:i/>
                <w:snapToGrid w:val="0"/>
                <w:sz w:val="24"/>
                <w:szCs w:val="24"/>
              </w:rPr>
            </w:pPr>
          </w:p>
        </w:tc>
      </w:tr>
      <w:tr w:rsidR="00AC732C" w:rsidRPr="003272B0" w14:paraId="04F390D7" w14:textId="77777777" w:rsidTr="00C75CF4">
        <w:trPr>
          <w:cantSplit/>
          <w:trHeight w:val="284"/>
        </w:trPr>
        <w:tc>
          <w:tcPr>
            <w:tcW w:w="5246" w:type="dxa"/>
            <w:tcBorders>
              <w:left w:val="single" w:sz="6" w:space="0" w:color="auto"/>
              <w:bottom w:val="single" w:sz="4" w:space="0" w:color="auto"/>
              <w:right w:val="single" w:sz="6" w:space="0" w:color="auto"/>
            </w:tcBorders>
            <w:shd w:val="clear" w:color="auto" w:fill="auto"/>
          </w:tcPr>
          <w:p w14:paraId="18923648" w14:textId="77777777" w:rsidR="00A17C3E" w:rsidRDefault="00A17C3E" w:rsidP="00A17C3E">
            <w:pPr>
              <w:widowControl w:val="0"/>
              <w:shd w:val="pct5" w:color="auto" w:fill="auto"/>
              <w:spacing w:line="276" w:lineRule="auto"/>
              <w:jc w:val="center"/>
              <w:rPr>
                <w:rFonts w:ascii="Book Antiqua" w:hAnsi="Book Antiqua"/>
                <w:b/>
                <w:i/>
                <w:snapToGrid w:val="0"/>
                <w:sz w:val="24"/>
                <w:szCs w:val="24"/>
              </w:rPr>
            </w:pPr>
          </w:p>
          <w:p w14:paraId="3C391A49" w14:textId="77777777" w:rsidR="00227EFB" w:rsidRDefault="00E56E02"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p w14:paraId="75B229D9" w14:textId="77777777" w:rsidR="00C75CF4" w:rsidRPr="00E56E02" w:rsidRDefault="00C75CF4" w:rsidP="00C75CF4">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(da eseguire prima del rilascio del parere sul rendiconto)</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4EFC6709"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4409B230"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sidR="00A17C3E">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4305C72F"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4FB7378E"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sidR="00A17C3E">
              <w:rPr>
                <w:rFonts w:ascii="Book Antiqua" w:hAnsi="Book Antiqua"/>
                <w:b/>
                <w:i/>
                <w:snapToGrid w:val="0"/>
                <w:sz w:val="24"/>
                <w:szCs w:val="24"/>
              </w:rPr>
              <w:t>o</w:t>
            </w:r>
          </w:p>
        </w:tc>
        <w:tc>
          <w:tcPr>
            <w:tcW w:w="850" w:type="dxa"/>
            <w:tcBorders>
              <w:top w:val="single" w:sz="4" w:space="0" w:color="auto"/>
              <w:left w:val="single" w:sz="6" w:space="0" w:color="auto"/>
              <w:bottom w:val="single" w:sz="6" w:space="0" w:color="auto"/>
              <w:right w:val="single" w:sz="6" w:space="0" w:color="auto"/>
            </w:tcBorders>
            <w:shd w:val="pct5" w:color="auto" w:fill="auto"/>
          </w:tcPr>
          <w:p w14:paraId="42DB287D" w14:textId="77777777" w:rsidR="00227EFB" w:rsidRDefault="00AC732C" w:rsidP="00EA5C69">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4875EFDA" w14:textId="2DBB3EBD" w:rsidR="00404733" w:rsidRPr="00E56E02" w:rsidRDefault="00A17C3E" w:rsidP="002B281A">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N/R</w:t>
            </w:r>
            <w:r w:rsidR="00404733">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6F7F6286" w14:textId="03629B93" w:rsidR="00227EFB"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AC732C" w:rsidRPr="001818C5" w14:paraId="5E6C4431"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F0839C9" w14:textId="77777777" w:rsidR="00227EFB" w:rsidRPr="009517DE" w:rsidRDefault="00AF7992" w:rsidP="00AF7992">
            <w:pPr>
              <w:widowControl w:val="0"/>
              <w:rPr>
                <w:rFonts w:ascii="Arial" w:hAnsi="Arial"/>
                <w:snapToGrid w:val="0"/>
              </w:rPr>
            </w:pPr>
            <w:r w:rsidRPr="009517DE">
              <w:rPr>
                <w:rFonts w:ascii="Book Antiqua" w:hAnsi="Book Antiqua"/>
                <w:snapToGrid w:val="0"/>
              </w:rPr>
              <w:t>Deliberazione di Giunta di destinazione sanzioni ex art. 208, comma 5, D.Lgs n.285/</w:t>
            </w:r>
            <w:proofErr w:type="gramStart"/>
            <w:r w:rsidRPr="009517DE">
              <w:rPr>
                <w:rFonts w:ascii="Book Antiqua" w:hAnsi="Book Antiqua"/>
                <w:snapToGrid w:val="0"/>
              </w:rPr>
              <w:t>92  n.</w:t>
            </w:r>
            <w:proofErr w:type="gramEnd"/>
            <w:r w:rsidRPr="009517DE">
              <w:rPr>
                <w:rFonts w:ascii="Book Antiqua" w:hAnsi="Book Antiqua"/>
                <w:snapToGrid w:val="0"/>
              </w:rPr>
              <w:t xml:space="preserve">  ……      del</w:t>
            </w:r>
            <w:r w:rsidRPr="009517DE">
              <w:rPr>
                <w:rFonts w:ascii="Arial" w:hAnsi="Arial"/>
                <w:snapToGrid w:val="0"/>
              </w:rPr>
              <w:t xml:space="preserve"> ……</w:t>
            </w:r>
            <w:proofErr w:type="gramStart"/>
            <w:r w:rsidRPr="009517DE">
              <w:rPr>
                <w:rFonts w:ascii="Arial" w:hAnsi="Arial"/>
                <w:snapToGrid w:val="0"/>
              </w:rPr>
              <w:t>…….</w:t>
            </w:r>
            <w:proofErr w:type="gramEnd"/>
            <w:r w:rsidRPr="009517DE">
              <w:rPr>
                <w:rFonts w:ascii="Arial" w:hAnsi="Arial"/>
                <w:snapToGrid w:val="0"/>
              </w:rPr>
              <w:t>.</w:t>
            </w:r>
          </w:p>
        </w:tc>
        <w:tc>
          <w:tcPr>
            <w:tcW w:w="567" w:type="dxa"/>
            <w:tcBorders>
              <w:top w:val="single" w:sz="6" w:space="0" w:color="auto"/>
              <w:left w:val="nil"/>
              <w:bottom w:val="single" w:sz="6" w:space="0" w:color="auto"/>
              <w:right w:val="single" w:sz="6" w:space="0" w:color="auto"/>
            </w:tcBorders>
          </w:tcPr>
          <w:p w14:paraId="499D97E8" w14:textId="77777777" w:rsidR="00227EFB" w:rsidRPr="001818C5"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DD9687D" w14:textId="77777777" w:rsidR="00227EFB" w:rsidRPr="001818C5"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88A48A5" w14:textId="77777777" w:rsidR="00227EFB" w:rsidRPr="001818C5"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C11B57C" w14:textId="77777777" w:rsidR="00227EFB" w:rsidRPr="001818C5" w:rsidRDefault="00227EFB" w:rsidP="00104E8C">
            <w:pPr>
              <w:widowControl w:val="0"/>
              <w:jc w:val="center"/>
              <w:rPr>
                <w:rFonts w:ascii="Arial" w:hAnsi="Arial"/>
                <w:snapToGrid w:val="0"/>
              </w:rPr>
            </w:pPr>
          </w:p>
        </w:tc>
      </w:tr>
      <w:tr w:rsidR="00802D40" w:rsidRPr="003B08CF" w14:paraId="5B328F58" w14:textId="77777777" w:rsidTr="006C645B">
        <w:trPr>
          <w:trHeight w:val="840"/>
        </w:trPr>
        <w:tc>
          <w:tcPr>
            <w:tcW w:w="5246" w:type="dxa"/>
            <w:tcBorders>
              <w:top w:val="single" w:sz="6" w:space="0" w:color="auto"/>
              <w:left w:val="single" w:sz="6" w:space="0" w:color="auto"/>
              <w:right w:val="single" w:sz="6" w:space="0" w:color="auto"/>
            </w:tcBorders>
          </w:tcPr>
          <w:p w14:paraId="7A80E616" w14:textId="78F711BE" w:rsidR="00802D40" w:rsidRPr="009517DE" w:rsidRDefault="00AF7992" w:rsidP="006C645B">
            <w:pPr>
              <w:spacing w:before="100" w:beforeAutospacing="1" w:after="100" w:afterAutospacing="1"/>
              <w:jc w:val="both"/>
              <w:rPr>
                <w:rFonts w:ascii="Book Antiqua" w:hAnsi="Book Antiqua"/>
                <w:snapToGrid w:val="0"/>
              </w:rPr>
            </w:pPr>
            <w:r w:rsidRPr="009517DE">
              <w:rPr>
                <w:rFonts w:ascii="Book Antiqua" w:hAnsi="Book Antiqua"/>
                <w:snapToGrid w:val="0"/>
              </w:rPr>
              <w:t>La ripartizione della destinazione rispetta i vincoli di cui ai commi 4 e 5 bis dell'art.208 e di cui al comma 12 ter dell'art.142 d</w:t>
            </w:r>
            <w:r w:rsidR="008230A8" w:rsidRPr="009517DE">
              <w:rPr>
                <w:rFonts w:ascii="Book Antiqua" w:hAnsi="Book Antiqua"/>
                <w:snapToGrid w:val="0"/>
              </w:rPr>
              <w:t>el D.Lgs.  n.285/92?</w:t>
            </w:r>
            <w:r w:rsidRPr="009517DE">
              <w:rPr>
                <w:rFonts w:ascii="Book Antiqua" w:hAnsi="Book Antiqua"/>
                <w:snapToGrid w:val="0"/>
              </w:rPr>
              <w:t xml:space="preserve">                                    </w:t>
            </w:r>
          </w:p>
        </w:tc>
        <w:tc>
          <w:tcPr>
            <w:tcW w:w="567" w:type="dxa"/>
            <w:tcBorders>
              <w:top w:val="single" w:sz="6" w:space="0" w:color="auto"/>
              <w:left w:val="single" w:sz="6" w:space="0" w:color="auto"/>
              <w:right w:val="single" w:sz="6" w:space="0" w:color="auto"/>
            </w:tcBorders>
          </w:tcPr>
          <w:p w14:paraId="3E07D579" w14:textId="77777777" w:rsidR="00802D40" w:rsidRPr="003B08CF" w:rsidRDefault="00802D40" w:rsidP="006C645B">
            <w:pPr>
              <w:widowControl w:val="0"/>
              <w:rPr>
                <w:rFonts w:ascii="Arial" w:hAnsi="Arial"/>
                <w:strike/>
                <w:snapToGrid w:val="0"/>
              </w:rPr>
            </w:pPr>
          </w:p>
        </w:tc>
        <w:tc>
          <w:tcPr>
            <w:tcW w:w="567" w:type="dxa"/>
            <w:tcBorders>
              <w:top w:val="single" w:sz="6" w:space="0" w:color="auto"/>
              <w:left w:val="single" w:sz="6" w:space="0" w:color="auto"/>
              <w:right w:val="single" w:sz="6" w:space="0" w:color="auto"/>
            </w:tcBorders>
          </w:tcPr>
          <w:p w14:paraId="4D9569FC" w14:textId="77777777" w:rsidR="00802D40" w:rsidRPr="003B08CF" w:rsidRDefault="00802D40" w:rsidP="006C645B">
            <w:pPr>
              <w:widowControl w:val="0"/>
              <w:jc w:val="center"/>
              <w:rPr>
                <w:rFonts w:ascii="Arial" w:hAnsi="Arial"/>
                <w:strike/>
                <w:snapToGrid w:val="0"/>
              </w:rPr>
            </w:pPr>
          </w:p>
        </w:tc>
        <w:tc>
          <w:tcPr>
            <w:tcW w:w="850" w:type="dxa"/>
            <w:tcBorders>
              <w:top w:val="single" w:sz="6" w:space="0" w:color="auto"/>
              <w:left w:val="single" w:sz="6" w:space="0" w:color="auto"/>
              <w:right w:val="single" w:sz="6" w:space="0" w:color="auto"/>
            </w:tcBorders>
          </w:tcPr>
          <w:p w14:paraId="780FB904" w14:textId="77777777" w:rsidR="00802D40" w:rsidRPr="003B08CF" w:rsidRDefault="00802D40" w:rsidP="006C645B">
            <w:pPr>
              <w:widowControl w:val="0"/>
              <w:jc w:val="center"/>
              <w:rPr>
                <w:rFonts w:ascii="Arial" w:hAnsi="Arial"/>
                <w:strike/>
                <w:snapToGrid w:val="0"/>
              </w:rPr>
            </w:pPr>
          </w:p>
        </w:tc>
        <w:tc>
          <w:tcPr>
            <w:tcW w:w="3119" w:type="dxa"/>
            <w:tcBorders>
              <w:top w:val="single" w:sz="6" w:space="0" w:color="auto"/>
              <w:left w:val="single" w:sz="6" w:space="0" w:color="auto"/>
              <w:right w:val="single" w:sz="6" w:space="0" w:color="auto"/>
            </w:tcBorders>
          </w:tcPr>
          <w:p w14:paraId="0E39D1CE" w14:textId="77777777" w:rsidR="00802D40" w:rsidRPr="003B08CF" w:rsidRDefault="00802D40" w:rsidP="006C645B">
            <w:pPr>
              <w:widowControl w:val="0"/>
              <w:jc w:val="center"/>
              <w:rPr>
                <w:rFonts w:ascii="Arial" w:hAnsi="Arial"/>
                <w:strike/>
                <w:snapToGrid w:val="0"/>
              </w:rPr>
            </w:pPr>
          </w:p>
        </w:tc>
      </w:tr>
      <w:tr w:rsidR="00AC732C" w14:paraId="3FA802E4" w14:textId="77777777" w:rsidTr="00EA5C69">
        <w:tc>
          <w:tcPr>
            <w:tcW w:w="5246" w:type="dxa"/>
            <w:tcBorders>
              <w:top w:val="single" w:sz="6" w:space="0" w:color="auto"/>
              <w:left w:val="single" w:sz="6" w:space="0" w:color="auto"/>
              <w:bottom w:val="single" w:sz="6" w:space="0" w:color="auto"/>
              <w:right w:val="single" w:sz="6" w:space="0" w:color="auto"/>
            </w:tcBorders>
          </w:tcPr>
          <w:p w14:paraId="3DB2160F" w14:textId="77777777" w:rsidR="00CB1E36" w:rsidRPr="009517DE" w:rsidRDefault="00AF7992" w:rsidP="008230A8">
            <w:pPr>
              <w:widowControl w:val="0"/>
              <w:rPr>
                <w:rFonts w:ascii="Book Antiqua" w:hAnsi="Book Antiqua"/>
                <w:snapToGrid w:val="0"/>
              </w:rPr>
            </w:pPr>
            <w:r w:rsidRPr="009517DE">
              <w:rPr>
                <w:rFonts w:ascii="Book Antiqua" w:hAnsi="Book Antiqua"/>
                <w:snapToGrid w:val="0"/>
              </w:rPr>
              <w:t xml:space="preserve">Per i proventi è stato determinato il </w:t>
            </w:r>
            <w:proofErr w:type="gramStart"/>
            <w:r w:rsidRPr="009517DE">
              <w:rPr>
                <w:rFonts w:ascii="Book Antiqua" w:hAnsi="Book Antiqua"/>
                <w:snapToGrid w:val="0"/>
              </w:rPr>
              <w:t>FCDE</w:t>
            </w:r>
            <w:r w:rsidR="008230A8" w:rsidRPr="009517DE">
              <w:rPr>
                <w:rFonts w:ascii="Book Antiqua" w:hAnsi="Book Antiqua"/>
                <w:snapToGrid w:val="0"/>
              </w:rPr>
              <w:t xml:space="preserve"> ?</w:t>
            </w:r>
            <w:proofErr w:type="gramEnd"/>
          </w:p>
        </w:tc>
        <w:tc>
          <w:tcPr>
            <w:tcW w:w="567" w:type="dxa"/>
            <w:tcBorders>
              <w:top w:val="single" w:sz="6" w:space="0" w:color="auto"/>
              <w:left w:val="single" w:sz="6" w:space="0" w:color="auto"/>
              <w:bottom w:val="single" w:sz="6" w:space="0" w:color="auto"/>
              <w:right w:val="single" w:sz="6" w:space="0" w:color="auto"/>
            </w:tcBorders>
          </w:tcPr>
          <w:p w14:paraId="74051749" w14:textId="77777777" w:rsidR="00227EFB"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25B438F" w14:textId="77777777" w:rsidR="00227EFB"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23B7821" w14:textId="77777777" w:rsidR="00227EFB"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E7C3FCA" w14:textId="77777777" w:rsidR="00227EFB" w:rsidRDefault="00227EFB" w:rsidP="00104E8C">
            <w:pPr>
              <w:widowControl w:val="0"/>
              <w:jc w:val="center"/>
              <w:rPr>
                <w:rFonts w:ascii="Arial" w:hAnsi="Arial"/>
                <w:snapToGrid w:val="0"/>
              </w:rPr>
            </w:pPr>
          </w:p>
        </w:tc>
      </w:tr>
      <w:tr w:rsidR="00EF2114" w:rsidRPr="00EF2114" w14:paraId="15662269" w14:textId="77777777" w:rsidTr="008230A8">
        <w:trPr>
          <w:trHeight w:val="508"/>
        </w:trPr>
        <w:tc>
          <w:tcPr>
            <w:tcW w:w="5246" w:type="dxa"/>
            <w:tcBorders>
              <w:top w:val="single" w:sz="6" w:space="0" w:color="auto"/>
              <w:left w:val="single" w:sz="6" w:space="0" w:color="auto"/>
              <w:right w:val="single" w:sz="6" w:space="0" w:color="auto"/>
            </w:tcBorders>
          </w:tcPr>
          <w:p w14:paraId="2B83C736" w14:textId="3970A0D5" w:rsidR="00EF2114" w:rsidRPr="009517DE" w:rsidRDefault="008230A8" w:rsidP="008230A8">
            <w:pPr>
              <w:spacing w:before="100" w:beforeAutospacing="1" w:after="100" w:afterAutospacing="1"/>
              <w:jc w:val="both"/>
              <w:rPr>
                <w:rFonts w:ascii="Book Antiqua" w:hAnsi="Book Antiqua"/>
                <w:snapToGrid w:val="0"/>
              </w:rPr>
            </w:pPr>
            <w:r w:rsidRPr="009517DE">
              <w:rPr>
                <w:rFonts w:ascii="Book Antiqua" w:hAnsi="Book Antiqua"/>
                <w:snapToGrid w:val="0"/>
              </w:rPr>
              <w:t>Nel bilancio le riso</w:t>
            </w:r>
            <w:r w:rsidR="00AF7992" w:rsidRPr="009517DE">
              <w:rPr>
                <w:rFonts w:ascii="Book Antiqua" w:hAnsi="Book Antiqua"/>
                <w:snapToGrid w:val="0"/>
              </w:rPr>
              <w:t>r</w:t>
            </w:r>
            <w:r w:rsidRPr="009517DE">
              <w:rPr>
                <w:rFonts w:ascii="Book Antiqua" w:hAnsi="Book Antiqua"/>
                <w:snapToGrid w:val="0"/>
              </w:rPr>
              <w:t>s</w:t>
            </w:r>
            <w:r w:rsidR="00AF7992" w:rsidRPr="009517DE">
              <w:rPr>
                <w:rFonts w:ascii="Book Antiqua" w:hAnsi="Book Antiqua"/>
                <w:snapToGrid w:val="0"/>
              </w:rPr>
              <w:t>e sono disti</w:t>
            </w:r>
            <w:r w:rsidRPr="009517DE">
              <w:rPr>
                <w:rFonts w:ascii="Book Antiqua" w:hAnsi="Book Antiqua"/>
                <w:snapToGrid w:val="0"/>
              </w:rPr>
              <w:t>n</w:t>
            </w:r>
            <w:r w:rsidR="00AF7992" w:rsidRPr="009517DE">
              <w:rPr>
                <w:rFonts w:ascii="Book Antiqua" w:hAnsi="Book Antiqua"/>
                <w:snapToGrid w:val="0"/>
              </w:rPr>
              <w:t>te tra sanzioni a carico delle famigl</w:t>
            </w:r>
            <w:r w:rsidRPr="009517DE">
              <w:rPr>
                <w:rFonts w:ascii="Book Antiqua" w:hAnsi="Book Antiqua"/>
                <w:snapToGrid w:val="0"/>
              </w:rPr>
              <w:t>i</w:t>
            </w:r>
            <w:r w:rsidR="00AF7992" w:rsidRPr="009517DE">
              <w:rPr>
                <w:rFonts w:ascii="Book Antiqua" w:hAnsi="Book Antiqua"/>
                <w:snapToGrid w:val="0"/>
              </w:rPr>
              <w:t>e ed a carico di imprese</w:t>
            </w:r>
            <w:r w:rsidRPr="009517DE">
              <w:rPr>
                <w:rFonts w:ascii="Book Antiqua" w:hAnsi="Book Antiqua"/>
                <w:snapToGrid w:val="0"/>
              </w:rPr>
              <w:t>?</w:t>
            </w:r>
          </w:p>
        </w:tc>
        <w:tc>
          <w:tcPr>
            <w:tcW w:w="567" w:type="dxa"/>
            <w:tcBorders>
              <w:top w:val="single" w:sz="6" w:space="0" w:color="auto"/>
              <w:left w:val="single" w:sz="6" w:space="0" w:color="auto"/>
              <w:right w:val="single" w:sz="6" w:space="0" w:color="auto"/>
            </w:tcBorders>
          </w:tcPr>
          <w:p w14:paraId="797E290C"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right w:val="single" w:sz="6" w:space="0" w:color="auto"/>
            </w:tcBorders>
          </w:tcPr>
          <w:p w14:paraId="77F9A7AB"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right w:val="single" w:sz="6" w:space="0" w:color="auto"/>
            </w:tcBorders>
          </w:tcPr>
          <w:p w14:paraId="3FA24421"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right w:val="single" w:sz="6" w:space="0" w:color="auto"/>
            </w:tcBorders>
          </w:tcPr>
          <w:p w14:paraId="4F1C8D50" w14:textId="77777777" w:rsidR="00EF2114" w:rsidRPr="00EF2114" w:rsidRDefault="00EF2114" w:rsidP="00EF2114">
            <w:pPr>
              <w:spacing w:before="100" w:beforeAutospacing="1" w:after="100" w:afterAutospacing="1"/>
              <w:jc w:val="both"/>
              <w:rPr>
                <w:rFonts w:ascii="Book Antiqua" w:hAnsi="Book Antiqua"/>
                <w:b/>
                <w:snapToGrid w:val="0"/>
              </w:rPr>
            </w:pPr>
          </w:p>
        </w:tc>
      </w:tr>
      <w:tr w:rsidR="00E53BC5" w:rsidRPr="00EF2114" w14:paraId="47BEABF4" w14:textId="77777777" w:rsidTr="00E53BC5">
        <w:trPr>
          <w:trHeight w:val="598"/>
        </w:trPr>
        <w:tc>
          <w:tcPr>
            <w:tcW w:w="5246" w:type="dxa"/>
            <w:tcBorders>
              <w:top w:val="single" w:sz="6" w:space="0" w:color="auto"/>
              <w:left w:val="single" w:sz="6" w:space="0" w:color="auto"/>
              <w:right w:val="single" w:sz="6" w:space="0" w:color="auto"/>
            </w:tcBorders>
          </w:tcPr>
          <w:p w14:paraId="0A42E2A6" w14:textId="30D6DA21" w:rsidR="00E53BC5" w:rsidRPr="009517DE" w:rsidRDefault="00AF7992" w:rsidP="00A56E86">
            <w:pPr>
              <w:spacing w:before="100" w:beforeAutospacing="1" w:after="100" w:afterAutospacing="1"/>
              <w:jc w:val="both"/>
              <w:rPr>
                <w:rFonts w:ascii="Book Antiqua" w:hAnsi="Book Antiqua"/>
                <w:snapToGrid w:val="0"/>
              </w:rPr>
            </w:pPr>
            <w:r w:rsidRPr="009517DE">
              <w:rPr>
                <w:rFonts w:ascii="Book Antiqua" w:hAnsi="Book Antiqua"/>
                <w:snapToGrid w:val="0"/>
              </w:rPr>
              <w:t>In corso di gestione, a fronte del monitoraggio delle entrate, del FCDE e delle spese finanziate sono stati adeguati gli stanziamenti di bilancio</w:t>
            </w:r>
            <w:r w:rsidR="008230A8" w:rsidRPr="009517DE">
              <w:rPr>
                <w:rFonts w:ascii="Book Antiqua" w:hAnsi="Book Antiqua"/>
                <w:snapToGrid w:val="0"/>
              </w:rPr>
              <w:t>?</w:t>
            </w:r>
          </w:p>
        </w:tc>
        <w:tc>
          <w:tcPr>
            <w:tcW w:w="567" w:type="dxa"/>
            <w:tcBorders>
              <w:top w:val="single" w:sz="6" w:space="0" w:color="auto"/>
              <w:left w:val="single" w:sz="6" w:space="0" w:color="auto"/>
              <w:right w:val="single" w:sz="6" w:space="0" w:color="auto"/>
            </w:tcBorders>
          </w:tcPr>
          <w:p w14:paraId="42FDBF3D"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right w:val="single" w:sz="6" w:space="0" w:color="auto"/>
            </w:tcBorders>
          </w:tcPr>
          <w:p w14:paraId="1B9E6533"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right w:val="single" w:sz="6" w:space="0" w:color="auto"/>
            </w:tcBorders>
          </w:tcPr>
          <w:p w14:paraId="269D076E"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right w:val="single" w:sz="6" w:space="0" w:color="auto"/>
            </w:tcBorders>
          </w:tcPr>
          <w:p w14:paraId="7132DFC0" w14:textId="77777777" w:rsidR="00E53BC5" w:rsidRPr="00EF2114" w:rsidRDefault="00E53BC5" w:rsidP="00EF2114">
            <w:pPr>
              <w:spacing w:before="100" w:beforeAutospacing="1" w:after="100" w:afterAutospacing="1"/>
              <w:jc w:val="both"/>
              <w:rPr>
                <w:rFonts w:ascii="Book Antiqua" w:hAnsi="Book Antiqua"/>
                <w:b/>
                <w:snapToGrid w:val="0"/>
              </w:rPr>
            </w:pPr>
          </w:p>
        </w:tc>
      </w:tr>
      <w:tr w:rsidR="00B76D21" w:rsidRPr="00FC4811" w14:paraId="012B8501" w14:textId="77777777" w:rsidTr="00EA5C69">
        <w:tc>
          <w:tcPr>
            <w:tcW w:w="5246" w:type="dxa"/>
            <w:tcBorders>
              <w:top w:val="single" w:sz="6" w:space="0" w:color="auto"/>
              <w:left w:val="single" w:sz="6" w:space="0" w:color="auto"/>
              <w:bottom w:val="single" w:sz="6" w:space="0" w:color="auto"/>
              <w:right w:val="single" w:sz="6" w:space="0" w:color="auto"/>
            </w:tcBorders>
          </w:tcPr>
          <w:p w14:paraId="78D79C5C" w14:textId="3D7AFA28" w:rsidR="00B76D21" w:rsidRPr="009517DE" w:rsidRDefault="00AF7992" w:rsidP="00A56E86">
            <w:pPr>
              <w:widowControl w:val="0"/>
              <w:jc w:val="both"/>
              <w:rPr>
                <w:rFonts w:ascii="Book Antiqua" w:hAnsi="Book Antiqua"/>
                <w:snapToGrid w:val="0"/>
              </w:rPr>
            </w:pPr>
            <w:r w:rsidRPr="009517DE">
              <w:rPr>
                <w:rFonts w:ascii="Book Antiqua" w:hAnsi="Book Antiqua"/>
                <w:snapToGrid w:val="0"/>
              </w:rPr>
              <w:t>Conseguentemente agli adeguamenti degli stanziamenti è stata adeguata la delibera di Giunta che rappresenta il rispetto dei vincoli di destinazione</w:t>
            </w:r>
            <w:r w:rsidR="008230A8" w:rsidRPr="009517DE">
              <w:rPr>
                <w:rFonts w:ascii="Book Antiqua" w:hAnsi="Book Antiqua"/>
                <w:snapToGrid w:val="0"/>
              </w:rPr>
              <w:t>?</w:t>
            </w:r>
            <w:r w:rsidRPr="009517DE">
              <w:rPr>
                <w:rFonts w:ascii="Book Antiqua" w:hAnsi="Book Antiqua"/>
                <w:snapToGrid w:val="0"/>
              </w:rPr>
              <w:t xml:space="preserve">     </w:t>
            </w:r>
          </w:p>
        </w:tc>
        <w:tc>
          <w:tcPr>
            <w:tcW w:w="567" w:type="dxa"/>
            <w:tcBorders>
              <w:top w:val="single" w:sz="6" w:space="0" w:color="auto"/>
              <w:left w:val="single" w:sz="6" w:space="0" w:color="auto"/>
              <w:bottom w:val="single" w:sz="6" w:space="0" w:color="auto"/>
              <w:right w:val="single" w:sz="6" w:space="0" w:color="auto"/>
            </w:tcBorders>
          </w:tcPr>
          <w:p w14:paraId="029664C5"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EA48A0B"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950B5D7"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585CF4E3" w14:textId="77777777" w:rsidR="00B76D21" w:rsidRPr="00FC4811" w:rsidRDefault="00B76D21" w:rsidP="00104E8C">
            <w:pPr>
              <w:widowControl w:val="0"/>
              <w:jc w:val="center"/>
              <w:rPr>
                <w:rFonts w:ascii="Arial" w:hAnsi="Arial"/>
                <w:snapToGrid w:val="0"/>
              </w:rPr>
            </w:pPr>
          </w:p>
        </w:tc>
      </w:tr>
      <w:tr w:rsidR="00CB1E36" w:rsidRPr="00FC4811" w14:paraId="4B97B6DA" w14:textId="77777777" w:rsidTr="00EA5C69">
        <w:tc>
          <w:tcPr>
            <w:tcW w:w="5246" w:type="dxa"/>
            <w:tcBorders>
              <w:top w:val="single" w:sz="6" w:space="0" w:color="auto"/>
              <w:left w:val="single" w:sz="6" w:space="0" w:color="auto"/>
              <w:bottom w:val="single" w:sz="6" w:space="0" w:color="auto"/>
              <w:right w:val="single" w:sz="6" w:space="0" w:color="auto"/>
            </w:tcBorders>
          </w:tcPr>
          <w:p w14:paraId="7D9A3759" w14:textId="31DBA607" w:rsidR="00CB1E36" w:rsidRPr="00762AEC" w:rsidRDefault="00AF7992" w:rsidP="00A56E86">
            <w:pPr>
              <w:widowControl w:val="0"/>
              <w:jc w:val="both"/>
              <w:rPr>
                <w:rFonts w:ascii="Book Antiqua" w:hAnsi="Book Antiqua"/>
                <w:snapToGrid w:val="0"/>
              </w:rPr>
            </w:pPr>
            <w:r w:rsidRPr="00762AEC">
              <w:rPr>
                <w:rFonts w:ascii="Book Antiqua" w:hAnsi="Book Antiqua"/>
                <w:snapToGrid w:val="0"/>
              </w:rPr>
              <w:t>In sede di rendic</w:t>
            </w:r>
            <w:r w:rsidR="008230A8" w:rsidRPr="00762AEC">
              <w:rPr>
                <w:rFonts w:ascii="Book Antiqua" w:hAnsi="Book Antiqua"/>
                <w:snapToGrid w:val="0"/>
              </w:rPr>
              <w:t>onto è stato predisposto il pro</w:t>
            </w:r>
            <w:r w:rsidRPr="00762AEC">
              <w:rPr>
                <w:rFonts w:ascii="Book Antiqua" w:hAnsi="Book Antiqua"/>
                <w:snapToGrid w:val="0"/>
              </w:rPr>
              <w:t>s</w:t>
            </w:r>
            <w:r w:rsidR="008230A8" w:rsidRPr="00762AEC">
              <w:rPr>
                <w:rFonts w:ascii="Book Antiqua" w:hAnsi="Book Antiqua"/>
                <w:snapToGrid w:val="0"/>
              </w:rPr>
              <w:t>p</w:t>
            </w:r>
            <w:r w:rsidRPr="00762AEC">
              <w:rPr>
                <w:rFonts w:ascii="Book Antiqua" w:hAnsi="Book Antiqua"/>
                <w:snapToGrid w:val="0"/>
              </w:rPr>
              <w:t>etto che dimostra il rispetto dei vincoli in materia di utilizzo delle sanzioni</w:t>
            </w:r>
            <w:r w:rsidR="008230A8" w:rsidRPr="00762AEC">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204A562F" w14:textId="77777777" w:rsidR="00CB1E36" w:rsidRPr="00FC4811" w:rsidRDefault="00CB1E36" w:rsidP="00CB1E36">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ED90A09" w14:textId="77777777" w:rsidR="00CB1E36" w:rsidRPr="00FC4811" w:rsidRDefault="00CB1E36" w:rsidP="00CB1E36">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4762E79E" w14:textId="77777777" w:rsidR="00CB1E36" w:rsidRPr="00FC4811" w:rsidRDefault="00CB1E36" w:rsidP="00CB1E36">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85C64E7" w14:textId="77777777" w:rsidR="00CB1E36" w:rsidRPr="00FC4811" w:rsidRDefault="00CB1E36" w:rsidP="00CB1E36">
            <w:pPr>
              <w:widowControl w:val="0"/>
              <w:jc w:val="center"/>
              <w:rPr>
                <w:rFonts w:ascii="Arial" w:hAnsi="Arial"/>
                <w:snapToGrid w:val="0"/>
              </w:rPr>
            </w:pPr>
          </w:p>
        </w:tc>
      </w:tr>
      <w:tr w:rsidR="00CB1E36" w:rsidRPr="00CB1E36" w14:paraId="33602319" w14:textId="77777777" w:rsidTr="00EA5C69">
        <w:tc>
          <w:tcPr>
            <w:tcW w:w="5246" w:type="dxa"/>
            <w:tcBorders>
              <w:top w:val="single" w:sz="6" w:space="0" w:color="auto"/>
              <w:left w:val="single" w:sz="6" w:space="0" w:color="auto"/>
              <w:bottom w:val="single" w:sz="6" w:space="0" w:color="auto"/>
              <w:right w:val="single" w:sz="6" w:space="0" w:color="auto"/>
            </w:tcBorders>
          </w:tcPr>
          <w:p w14:paraId="164EA73C" w14:textId="57EC01E5" w:rsidR="00CB1E36" w:rsidRPr="00762AEC" w:rsidRDefault="00AF7992" w:rsidP="00005F45">
            <w:pPr>
              <w:widowControl w:val="0"/>
              <w:jc w:val="both"/>
              <w:rPr>
                <w:rFonts w:ascii="Book Antiqua" w:hAnsi="Book Antiqua"/>
                <w:snapToGrid w:val="0"/>
              </w:rPr>
            </w:pPr>
            <w:r w:rsidRPr="00762AEC">
              <w:rPr>
                <w:rFonts w:ascii="Book Antiqua" w:hAnsi="Book Antiqua"/>
                <w:snapToGrid w:val="0"/>
              </w:rPr>
              <w:t>L'ente ha trasmesso</w:t>
            </w:r>
            <w:r w:rsidR="00005F45" w:rsidRPr="00762AEC">
              <w:rPr>
                <w:rFonts w:ascii="Book Antiqua" w:hAnsi="Book Antiqua"/>
                <w:snapToGrid w:val="0"/>
              </w:rPr>
              <w:t xml:space="preserve">, per via telematica, </w:t>
            </w:r>
            <w:r w:rsidRPr="00762AEC">
              <w:rPr>
                <w:rFonts w:ascii="Book Antiqua" w:hAnsi="Book Antiqua"/>
                <w:snapToGrid w:val="0"/>
              </w:rPr>
              <w:t xml:space="preserve">entro il 31 maggio la rendicontazione </w:t>
            </w:r>
            <w:r w:rsidR="00005F45" w:rsidRPr="00762AEC">
              <w:rPr>
                <w:rFonts w:ascii="Book Antiqua" w:hAnsi="Book Antiqua"/>
                <w:snapToGrid w:val="0"/>
              </w:rPr>
              <w:t xml:space="preserve">ai sensi del DM 31 dicembre 2019 </w:t>
            </w:r>
            <w:r w:rsidRPr="00762AEC">
              <w:rPr>
                <w:rFonts w:ascii="Book Antiqua" w:hAnsi="Book Antiqua"/>
                <w:snapToGrid w:val="0"/>
              </w:rPr>
              <w:t>al Ministero delle infrastrutture e de</w:t>
            </w:r>
            <w:r w:rsidR="002B281A">
              <w:rPr>
                <w:rFonts w:ascii="Book Antiqua" w:hAnsi="Book Antiqua"/>
                <w:snapToGrid w:val="0"/>
              </w:rPr>
              <w:t>i</w:t>
            </w:r>
            <w:r w:rsidRPr="00762AEC">
              <w:rPr>
                <w:rFonts w:ascii="Book Antiqua" w:hAnsi="Book Antiqua"/>
                <w:snapToGrid w:val="0"/>
              </w:rPr>
              <w:t xml:space="preserve"> trasport</w:t>
            </w:r>
            <w:r w:rsidR="002B281A">
              <w:rPr>
                <w:rFonts w:ascii="Book Antiqua" w:hAnsi="Book Antiqua"/>
                <w:snapToGrid w:val="0"/>
              </w:rPr>
              <w:t>i</w:t>
            </w:r>
            <w:r w:rsidRPr="00762AEC">
              <w:rPr>
                <w:rFonts w:ascii="Book Antiqua" w:hAnsi="Book Antiqua"/>
                <w:snapToGrid w:val="0"/>
              </w:rPr>
              <w:t xml:space="preserve"> ed al Ministero dell'interno </w:t>
            </w:r>
            <w:r w:rsidR="00005F45" w:rsidRPr="00762AEC">
              <w:rPr>
                <w:rFonts w:ascii="Book Antiqua" w:hAnsi="Book Antiqua"/>
                <w:snapToGrid w:val="0"/>
              </w:rPr>
              <w:t xml:space="preserve">secondo la struttura e le informazioni di dettaglio riportate nell’allegato A al </w:t>
            </w:r>
            <w:proofErr w:type="gramStart"/>
            <w:r w:rsidR="00005F45" w:rsidRPr="00762AEC">
              <w:rPr>
                <w:rFonts w:ascii="Book Antiqua" w:hAnsi="Book Antiqua"/>
                <w:snapToGrid w:val="0"/>
              </w:rPr>
              <w:t>predetto</w:t>
            </w:r>
            <w:proofErr w:type="gramEnd"/>
            <w:r w:rsidR="00005F45" w:rsidRPr="00762AEC">
              <w:rPr>
                <w:rFonts w:ascii="Book Antiqua" w:hAnsi="Book Antiqua"/>
                <w:snapToGrid w:val="0"/>
              </w:rPr>
              <w:t xml:space="preserve"> DM debitamente certificata da responsabile del servizio finanziario o dal segretario comunale</w:t>
            </w:r>
            <w:r w:rsidR="008230A8" w:rsidRPr="00762AEC">
              <w:rPr>
                <w:rFonts w:ascii="Book Antiqua" w:hAnsi="Book Antiqua"/>
                <w:snapToGrid w:val="0"/>
              </w:rPr>
              <w:t>?</w:t>
            </w:r>
            <w:r w:rsidR="00005F45" w:rsidRPr="00762AEC">
              <w:rPr>
                <w:rFonts w:ascii="Book Antiqua" w:hAnsi="Book Antiqua"/>
                <w:snapToGrid w:val="0"/>
              </w:rPr>
              <w:t xml:space="preserve"> (invio prima relazione scadenza 30 settembre 2020) </w:t>
            </w:r>
          </w:p>
        </w:tc>
        <w:tc>
          <w:tcPr>
            <w:tcW w:w="567" w:type="dxa"/>
            <w:tcBorders>
              <w:top w:val="single" w:sz="6" w:space="0" w:color="auto"/>
              <w:left w:val="single" w:sz="6" w:space="0" w:color="auto"/>
              <w:bottom w:val="single" w:sz="6" w:space="0" w:color="auto"/>
              <w:right w:val="single" w:sz="6" w:space="0" w:color="auto"/>
            </w:tcBorders>
          </w:tcPr>
          <w:p w14:paraId="62725AB3" w14:textId="77777777" w:rsidR="00CB1E36" w:rsidRPr="00CB1E36" w:rsidRDefault="00CB1E36" w:rsidP="00CB1E36">
            <w:pPr>
              <w:widowControl w:val="0"/>
              <w:jc w:val="both"/>
              <w:rPr>
                <w:rFonts w:ascii="Book Antiqua" w:hAnsi="Book Antiqua"/>
                <w:b/>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580E5DD1" w14:textId="77777777" w:rsidR="00CB1E36" w:rsidRPr="00CB1E36" w:rsidRDefault="00CB1E36" w:rsidP="00CB1E36">
            <w:pPr>
              <w:widowControl w:val="0"/>
              <w:jc w:val="both"/>
              <w:rPr>
                <w:rFonts w:ascii="Book Antiqua" w:hAnsi="Book Antiqua"/>
                <w:b/>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3A31FE22" w14:textId="77777777" w:rsidR="00CB1E36" w:rsidRPr="00CB1E36" w:rsidRDefault="00CB1E36" w:rsidP="00CB1E36">
            <w:pPr>
              <w:widowControl w:val="0"/>
              <w:jc w:val="both"/>
              <w:rPr>
                <w:rFonts w:ascii="Book Antiqua" w:hAnsi="Book Antiqua"/>
                <w:b/>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2AEF24B6" w14:textId="77777777" w:rsidR="00CB1E36" w:rsidRPr="00CB1E36" w:rsidRDefault="00CB1E36" w:rsidP="00CB1E36">
            <w:pPr>
              <w:widowControl w:val="0"/>
              <w:jc w:val="both"/>
              <w:rPr>
                <w:rFonts w:ascii="Book Antiqua" w:hAnsi="Book Antiqua"/>
                <w:b/>
                <w:snapToGrid w:val="0"/>
                <w:color w:val="FF0000"/>
              </w:rPr>
            </w:pPr>
          </w:p>
        </w:tc>
      </w:tr>
      <w:tr w:rsidR="00005F45" w:rsidRPr="00E53BC5" w14:paraId="677B486B" w14:textId="77777777" w:rsidTr="00884B63">
        <w:tc>
          <w:tcPr>
            <w:tcW w:w="5246" w:type="dxa"/>
            <w:tcBorders>
              <w:top w:val="single" w:sz="6" w:space="0" w:color="auto"/>
              <w:left w:val="single" w:sz="6" w:space="0" w:color="auto"/>
              <w:bottom w:val="single" w:sz="6" w:space="0" w:color="auto"/>
              <w:right w:val="single" w:sz="6" w:space="0" w:color="auto"/>
            </w:tcBorders>
          </w:tcPr>
          <w:p w14:paraId="0A2F4CC7" w14:textId="023A2E73" w:rsidR="00005F45" w:rsidRPr="00762AEC" w:rsidRDefault="00795C3F" w:rsidP="00795C3F">
            <w:pPr>
              <w:widowControl w:val="0"/>
              <w:jc w:val="both"/>
              <w:rPr>
                <w:rFonts w:ascii="Book Antiqua" w:hAnsi="Book Antiqua"/>
                <w:snapToGrid w:val="0"/>
              </w:rPr>
            </w:pPr>
            <w:r w:rsidRPr="00762AEC">
              <w:rPr>
                <w:rFonts w:ascii="Book Antiqua" w:hAnsi="Book Antiqua"/>
                <w:snapToGrid w:val="0"/>
              </w:rPr>
              <w:t>A partire dall'anno 2020, il versamento dei proventi spettanti ai sensi dell'art. 142, comma 12-bis, del decreto legislativo 20 aprile 1992, n. 285 è avvenuto entro il 30 aprile di ogni anno con riferimento alle somme incassate al 31 dicembre dell'anno precedente?</w:t>
            </w:r>
          </w:p>
        </w:tc>
        <w:tc>
          <w:tcPr>
            <w:tcW w:w="567" w:type="dxa"/>
            <w:tcBorders>
              <w:top w:val="single" w:sz="6" w:space="0" w:color="auto"/>
              <w:left w:val="single" w:sz="6" w:space="0" w:color="auto"/>
              <w:bottom w:val="single" w:sz="6" w:space="0" w:color="auto"/>
              <w:right w:val="single" w:sz="6" w:space="0" w:color="auto"/>
            </w:tcBorders>
          </w:tcPr>
          <w:p w14:paraId="53A127D6" w14:textId="77777777" w:rsidR="00005F45" w:rsidRPr="00E53BC5" w:rsidRDefault="00005F45" w:rsidP="00884B63">
            <w:pPr>
              <w:widowControl w:val="0"/>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688229C3" w14:textId="77777777" w:rsidR="00005F45" w:rsidRPr="00E53BC5" w:rsidRDefault="00005F45" w:rsidP="00884B63">
            <w:pPr>
              <w:widowControl w:val="0"/>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648902B1" w14:textId="77777777" w:rsidR="00005F45" w:rsidRPr="00E53BC5" w:rsidRDefault="00005F45" w:rsidP="00884B63">
            <w:pPr>
              <w:widowControl w:val="0"/>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77392CDE" w14:textId="77777777" w:rsidR="00005F45" w:rsidRPr="00E53BC5" w:rsidRDefault="00005F45" w:rsidP="00884B63">
            <w:pPr>
              <w:widowControl w:val="0"/>
              <w:jc w:val="both"/>
              <w:rPr>
                <w:rFonts w:ascii="Book Antiqua" w:hAnsi="Book Antiqua"/>
                <w:b/>
                <w:snapToGrid w:val="0"/>
              </w:rPr>
            </w:pPr>
          </w:p>
        </w:tc>
      </w:tr>
      <w:tr w:rsidR="00E53BC5" w:rsidRPr="00E53BC5" w14:paraId="6A97ED8A" w14:textId="77777777" w:rsidTr="00884B63">
        <w:tc>
          <w:tcPr>
            <w:tcW w:w="5246" w:type="dxa"/>
            <w:tcBorders>
              <w:top w:val="single" w:sz="6" w:space="0" w:color="auto"/>
              <w:left w:val="single" w:sz="6" w:space="0" w:color="auto"/>
              <w:bottom w:val="single" w:sz="6" w:space="0" w:color="auto"/>
              <w:right w:val="single" w:sz="6" w:space="0" w:color="auto"/>
            </w:tcBorders>
          </w:tcPr>
          <w:p w14:paraId="7F960FCD" w14:textId="0D14A3AF" w:rsidR="00CB1E36" w:rsidRPr="009517DE" w:rsidRDefault="008230A8" w:rsidP="00A56E86">
            <w:pPr>
              <w:widowControl w:val="0"/>
              <w:jc w:val="both"/>
              <w:rPr>
                <w:rFonts w:ascii="Book Antiqua" w:hAnsi="Book Antiqua"/>
                <w:snapToGrid w:val="0"/>
              </w:rPr>
            </w:pPr>
            <w:r w:rsidRPr="009517DE">
              <w:rPr>
                <w:rFonts w:ascii="Book Antiqua" w:hAnsi="Book Antiqua"/>
                <w:snapToGrid w:val="0"/>
              </w:rPr>
              <w:t xml:space="preserve">In caso di mancato invio della rendicontazione obbligatoria è stata fatta segnalazione al Procuratore regionale della Corte dei conti?   </w:t>
            </w:r>
          </w:p>
        </w:tc>
        <w:tc>
          <w:tcPr>
            <w:tcW w:w="567" w:type="dxa"/>
            <w:tcBorders>
              <w:top w:val="single" w:sz="6" w:space="0" w:color="auto"/>
              <w:left w:val="single" w:sz="6" w:space="0" w:color="auto"/>
              <w:bottom w:val="single" w:sz="6" w:space="0" w:color="auto"/>
              <w:right w:val="single" w:sz="6" w:space="0" w:color="auto"/>
            </w:tcBorders>
          </w:tcPr>
          <w:p w14:paraId="3AE930FF" w14:textId="77777777" w:rsidR="00CB1E36" w:rsidRPr="00E53BC5" w:rsidRDefault="00CB1E36" w:rsidP="00884B63">
            <w:pPr>
              <w:widowControl w:val="0"/>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1F09747D" w14:textId="77777777" w:rsidR="00CB1E36" w:rsidRPr="00E53BC5" w:rsidRDefault="00CB1E36" w:rsidP="00884B63">
            <w:pPr>
              <w:widowControl w:val="0"/>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48C6AEAF" w14:textId="77777777" w:rsidR="00CB1E36" w:rsidRPr="00E53BC5" w:rsidRDefault="00CB1E36" w:rsidP="00884B63">
            <w:pPr>
              <w:widowControl w:val="0"/>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09285029" w14:textId="77777777" w:rsidR="00CB1E36" w:rsidRPr="00E53BC5" w:rsidRDefault="00CB1E36" w:rsidP="00884B63">
            <w:pPr>
              <w:widowControl w:val="0"/>
              <w:jc w:val="both"/>
              <w:rPr>
                <w:rFonts w:ascii="Book Antiqua" w:hAnsi="Book Antiqua"/>
                <w:b/>
                <w:snapToGrid w:val="0"/>
              </w:rPr>
            </w:pPr>
          </w:p>
        </w:tc>
      </w:tr>
    </w:tbl>
    <w:p w14:paraId="6180AD42" w14:textId="77777777" w:rsidR="00EA5C69" w:rsidRDefault="00EA5C69"/>
    <w:p w14:paraId="2083ACEC" w14:textId="77777777" w:rsidR="008230A8" w:rsidRDefault="008230A8"/>
    <w:p w14:paraId="1B68B42F" w14:textId="77777777" w:rsidR="00D4523A" w:rsidRDefault="00D4523A"/>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8230A8" w:rsidRPr="00F97FDB" w14:paraId="00D64FDF" w14:textId="77777777" w:rsidTr="002B281A">
        <w:trPr>
          <w:cantSplit/>
        </w:trPr>
        <w:tc>
          <w:tcPr>
            <w:tcW w:w="5246" w:type="dxa"/>
            <w:tcBorders>
              <w:top w:val="single" w:sz="4" w:space="0" w:color="auto"/>
              <w:left w:val="single" w:sz="4" w:space="0" w:color="auto"/>
              <w:bottom w:val="single" w:sz="4" w:space="0" w:color="auto"/>
              <w:right w:val="single" w:sz="4" w:space="0" w:color="auto"/>
            </w:tcBorders>
          </w:tcPr>
          <w:p w14:paraId="1AD529E5" w14:textId="77777777" w:rsidR="008230A8" w:rsidRPr="00F97FDB" w:rsidRDefault="008230A8" w:rsidP="0011547F">
            <w:pPr>
              <w:widowControl w:val="0"/>
              <w:rPr>
                <w:rFonts w:ascii="Book Antiqua" w:hAnsi="Book Antiqua"/>
                <w:b/>
                <w:snapToGrid w:val="0"/>
                <w:color w:val="FF0000"/>
              </w:rPr>
            </w:pPr>
            <w:r>
              <w:rPr>
                <w:rFonts w:ascii="Book Antiqua" w:hAnsi="Book Antiqua"/>
                <w:b/>
                <w:snapToGrid w:val="0"/>
                <w:color w:val="FF0000"/>
              </w:rPr>
              <w:t>LEGENDA:</w:t>
            </w:r>
          </w:p>
        </w:tc>
        <w:tc>
          <w:tcPr>
            <w:tcW w:w="5103" w:type="dxa"/>
            <w:tcBorders>
              <w:top w:val="single" w:sz="6" w:space="0" w:color="auto"/>
              <w:left w:val="nil"/>
              <w:bottom w:val="single" w:sz="4" w:space="0" w:color="auto"/>
              <w:right w:val="single" w:sz="6" w:space="0" w:color="auto"/>
            </w:tcBorders>
          </w:tcPr>
          <w:p w14:paraId="7EB50038" w14:textId="77777777" w:rsidR="008230A8" w:rsidRPr="00F97FDB" w:rsidRDefault="008230A8" w:rsidP="0011547F">
            <w:pPr>
              <w:widowControl w:val="0"/>
              <w:rPr>
                <w:rFonts w:ascii="Book Antiqua" w:hAnsi="Book Antiqua"/>
                <w:b/>
                <w:snapToGrid w:val="0"/>
                <w:color w:val="FF0000"/>
              </w:rPr>
            </w:pPr>
          </w:p>
        </w:tc>
      </w:tr>
      <w:tr w:rsidR="002B281A" w:rsidRPr="00F97FDB" w14:paraId="68ECA391" w14:textId="77777777" w:rsidTr="002B281A">
        <w:trPr>
          <w:cantSplit/>
          <w:trHeight w:val="2938"/>
        </w:trPr>
        <w:tc>
          <w:tcPr>
            <w:tcW w:w="10349" w:type="dxa"/>
            <w:gridSpan w:val="2"/>
            <w:tcBorders>
              <w:top w:val="single" w:sz="4" w:space="0" w:color="auto"/>
              <w:left w:val="single" w:sz="4" w:space="0" w:color="auto"/>
              <w:bottom w:val="single" w:sz="4" w:space="0" w:color="auto"/>
              <w:right w:val="single" w:sz="6" w:space="0" w:color="auto"/>
            </w:tcBorders>
          </w:tcPr>
          <w:p w14:paraId="1402DB92" w14:textId="77777777" w:rsidR="002B281A" w:rsidRPr="00121841" w:rsidRDefault="002B281A" w:rsidP="002B281A">
            <w:pPr>
              <w:widowControl w:val="0"/>
              <w:jc w:val="both"/>
              <w:rPr>
                <w:rFonts w:ascii="Book Antiqua" w:hAnsi="Book Antiqua"/>
                <w:b/>
                <w:snapToGrid w:val="0"/>
                <w:color w:val="FF0000"/>
              </w:rPr>
            </w:pPr>
            <w:r w:rsidRPr="00121841">
              <w:rPr>
                <w:rFonts w:ascii="Book Antiqua" w:hAnsi="Book Antiqua"/>
                <w:b/>
                <w:snapToGrid w:val="0"/>
                <w:color w:val="FF0000"/>
              </w:rPr>
              <w:t>In caso di risposta negativa:</w:t>
            </w:r>
          </w:p>
          <w:p w14:paraId="4CAE34AC" w14:textId="77777777" w:rsidR="002B281A" w:rsidRDefault="002B281A" w:rsidP="002B281A">
            <w:pPr>
              <w:widowControl w:val="0"/>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52279302" w14:textId="77777777" w:rsidR="002B281A" w:rsidRPr="00F97FDB" w:rsidRDefault="002B281A" w:rsidP="002B281A">
            <w:pPr>
              <w:widowControl w:val="0"/>
              <w:jc w:val="both"/>
              <w:rPr>
                <w:rFonts w:ascii="Book Antiqua" w:hAnsi="Book Antiqua"/>
                <w:b/>
                <w:snapToGrid w:val="0"/>
                <w:color w:val="FF0000"/>
              </w:rPr>
            </w:pPr>
          </w:p>
          <w:p w14:paraId="533F9C7A" w14:textId="77777777" w:rsidR="002B281A" w:rsidRPr="00B16AD9" w:rsidRDefault="002B281A" w:rsidP="002B281A">
            <w:pPr>
              <w:widowControl w:val="0"/>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7B0B7F14" w14:textId="77777777" w:rsidR="002B281A" w:rsidRDefault="002B281A" w:rsidP="002B281A">
            <w:pPr>
              <w:widowControl w:val="0"/>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2B60F272" w14:textId="77777777" w:rsidR="002B281A" w:rsidRDefault="002B281A" w:rsidP="002B281A">
            <w:pPr>
              <w:widowControl w:val="0"/>
              <w:jc w:val="both"/>
              <w:rPr>
                <w:rFonts w:ascii="Book Antiqua" w:hAnsi="Book Antiqua"/>
                <w:snapToGrid w:val="0"/>
              </w:rPr>
            </w:pPr>
          </w:p>
          <w:p w14:paraId="284E8FBA" w14:textId="03172E89" w:rsidR="002B281A" w:rsidRPr="00F97FDB" w:rsidRDefault="002B281A" w:rsidP="002B281A">
            <w:pPr>
              <w:widowControl w:val="0"/>
              <w:jc w:val="both"/>
              <w:rPr>
                <w:rFonts w:ascii="Book Antiqua" w:hAnsi="Book Antiqua"/>
                <w:b/>
                <w:snapToGrid w:val="0"/>
                <w:color w:val="FF0000"/>
              </w:rPr>
            </w:pPr>
            <w:r w:rsidRPr="00121841">
              <w:rPr>
                <w:rFonts w:ascii="Book Antiqua" w:hAnsi="Book Antiqua"/>
                <w:b/>
                <w:snapToGrid w:val="0"/>
                <w:color w:val="FF0000"/>
              </w:rPr>
              <w:t>N/R – Non ricorre la fattispecie</w:t>
            </w:r>
          </w:p>
        </w:tc>
      </w:tr>
    </w:tbl>
    <w:p w14:paraId="690D860C" w14:textId="77777777" w:rsidR="008230A8" w:rsidRDefault="008230A8"/>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7313B765"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C67FB"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108DE386" w14:textId="54241DD4"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F70F7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E5E4F44" w14:textId="77777777" w:rsidR="00EA5C69" w:rsidRPr="00574869" w:rsidRDefault="00EA5C69" w:rsidP="003A7906">
            <w:pPr>
              <w:widowControl w:val="0"/>
              <w:jc w:val="center"/>
              <w:rPr>
                <w:rFonts w:ascii="Arial" w:hAnsi="Arial"/>
                <w:snapToGrid w:val="0"/>
              </w:rPr>
            </w:pPr>
          </w:p>
        </w:tc>
      </w:tr>
      <w:tr w:rsidR="00EA5C69" w:rsidRPr="00574869" w14:paraId="30C3D6B0"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F99C6"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26B12FB" w14:textId="77777777" w:rsidR="00EA5C69" w:rsidRPr="00574869" w:rsidRDefault="00EA5C69" w:rsidP="003A7906">
            <w:pPr>
              <w:widowControl w:val="0"/>
              <w:jc w:val="center"/>
              <w:rPr>
                <w:rFonts w:ascii="Arial" w:hAnsi="Arial"/>
                <w:snapToGrid w:val="0"/>
              </w:rPr>
            </w:pPr>
          </w:p>
        </w:tc>
      </w:tr>
      <w:tr w:rsidR="00EA5C69" w:rsidRPr="00574869" w14:paraId="4352EE28"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FFDEB"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48D145C" w14:textId="77777777" w:rsidR="00EA5C69" w:rsidRPr="00574869" w:rsidRDefault="00EA5C69" w:rsidP="003A7906">
            <w:pPr>
              <w:widowControl w:val="0"/>
              <w:jc w:val="center"/>
              <w:rPr>
                <w:rFonts w:ascii="Arial" w:hAnsi="Arial"/>
                <w:snapToGrid w:val="0"/>
              </w:rPr>
            </w:pPr>
          </w:p>
        </w:tc>
      </w:tr>
      <w:tr w:rsidR="00514CB5" w:rsidRPr="00574869" w14:paraId="25BC7759"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73B1D" w14:textId="4141CD7E"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61F3A56B"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B1DEA90" w14:textId="77777777" w:rsidR="00514CB5" w:rsidRPr="00574869" w:rsidRDefault="00514CB5" w:rsidP="003A7906">
            <w:pPr>
              <w:widowControl w:val="0"/>
              <w:jc w:val="center"/>
              <w:rPr>
                <w:rFonts w:ascii="Arial" w:hAnsi="Arial"/>
                <w:snapToGrid w:val="0"/>
              </w:rPr>
            </w:pPr>
          </w:p>
        </w:tc>
      </w:tr>
      <w:tr w:rsidR="00514CB5" w:rsidRPr="00574869" w14:paraId="4B3CF7D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B4D6D"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0161BFF" w14:textId="77777777" w:rsidR="00514CB5" w:rsidRPr="00574869" w:rsidRDefault="00514CB5" w:rsidP="003A7906">
            <w:pPr>
              <w:widowControl w:val="0"/>
              <w:jc w:val="center"/>
              <w:rPr>
                <w:rFonts w:ascii="Arial" w:hAnsi="Arial"/>
                <w:snapToGrid w:val="0"/>
              </w:rPr>
            </w:pPr>
          </w:p>
        </w:tc>
      </w:tr>
      <w:tr w:rsidR="00514CB5" w:rsidRPr="00574869" w14:paraId="7664BB07"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C52F5"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7078420" w14:textId="77777777" w:rsidR="00514CB5" w:rsidRPr="00574869" w:rsidRDefault="00514CB5" w:rsidP="003A7906">
            <w:pPr>
              <w:widowControl w:val="0"/>
              <w:jc w:val="center"/>
              <w:rPr>
                <w:rFonts w:ascii="Arial" w:hAnsi="Arial"/>
                <w:snapToGrid w:val="0"/>
              </w:rPr>
            </w:pPr>
          </w:p>
        </w:tc>
      </w:tr>
      <w:tr w:rsidR="00514CB5" w:rsidRPr="00574869" w14:paraId="02F3D787"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8020B"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E231545" w14:textId="77777777" w:rsidR="00514CB5" w:rsidRPr="00574869" w:rsidRDefault="00514CB5" w:rsidP="003A7906">
            <w:pPr>
              <w:widowControl w:val="0"/>
              <w:jc w:val="center"/>
              <w:rPr>
                <w:rFonts w:ascii="Arial" w:hAnsi="Arial"/>
                <w:snapToGrid w:val="0"/>
              </w:rPr>
            </w:pPr>
          </w:p>
        </w:tc>
      </w:tr>
      <w:tr w:rsidR="00514CB5" w:rsidRPr="00574869" w14:paraId="3A812B58"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0194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BF5A9D6" w14:textId="77777777" w:rsidR="00514CB5" w:rsidRPr="00574869" w:rsidRDefault="00514CB5" w:rsidP="003A7906">
            <w:pPr>
              <w:widowControl w:val="0"/>
              <w:jc w:val="center"/>
              <w:rPr>
                <w:rFonts w:ascii="Arial" w:hAnsi="Arial"/>
                <w:snapToGrid w:val="0"/>
              </w:rPr>
            </w:pPr>
          </w:p>
        </w:tc>
      </w:tr>
      <w:tr w:rsidR="00514CB5" w:rsidRPr="00574869" w14:paraId="014F81BD"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89614"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F523F34" w14:textId="77777777" w:rsidR="00514CB5" w:rsidRPr="00574869" w:rsidRDefault="00514CB5" w:rsidP="003A7906">
            <w:pPr>
              <w:widowControl w:val="0"/>
              <w:jc w:val="center"/>
              <w:rPr>
                <w:rFonts w:ascii="Arial" w:hAnsi="Arial"/>
                <w:snapToGrid w:val="0"/>
              </w:rPr>
            </w:pPr>
          </w:p>
        </w:tc>
      </w:tr>
    </w:tbl>
    <w:p w14:paraId="7E32DA0E" w14:textId="77777777" w:rsidR="00C9567A" w:rsidRDefault="004A663E" w:rsidP="00514CB5">
      <w:pPr>
        <w:spacing w:before="100" w:beforeAutospacing="1" w:after="100" w:afterAutospacing="1" w:line="360" w:lineRule="auto"/>
        <w:jc w:val="center"/>
      </w:pPr>
      <w:r>
        <w:t>Fonte Normativa:</w:t>
      </w:r>
    </w:p>
    <w:tbl>
      <w:tblPr>
        <w:tblW w:w="9990" w:type="dxa"/>
        <w:tblInd w:w="61" w:type="dxa"/>
        <w:tblCellMar>
          <w:left w:w="70" w:type="dxa"/>
          <w:right w:w="70" w:type="dxa"/>
        </w:tblCellMar>
        <w:tblLook w:val="04A0" w:firstRow="1" w:lastRow="0" w:firstColumn="1" w:lastColumn="0" w:noHBand="0" w:noVBand="1"/>
      </w:tblPr>
      <w:tblGrid>
        <w:gridCol w:w="9990"/>
      </w:tblGrid>
      <w:tr w:rsidR="00AF7992" w:rsidRPr="00AF7992" w14:paraId="75261C3F" w14:textId="77777777" w:rsidTr="00AF7992">
        <w:trPr>
          <w:trHeight w:val="795"/>
        </w:trPr>
        <w:tc>
          <w:tcPr>
            <w:tcW w:w="9990" w:type="dxa"/>
            <w:tcBorders>
              <w:top w:val="nil"/>
              <w:left w:val="nil"/>
              <w:bottom w:val="nil"/>
              <w:right w:val="nil"/>
            </w:tcBorders>
            <w:shd w:val="clear" w:color="auto" w:fill="auto"/>
            <w:noWrap/>
            <w:vAlign w:val="center"/>
            <w:hideMark/>
          </w:tcPr>
          <w:p w14:paraId="7FE451E1" w14:textId="77777777" w:rsidR="00AF7992" w:rsidRPr="00AF7992" w:rsidRDefault="00AF7992" w:rsidP="00AF7992">
            <w:pPr>
              <w:jc w:val="both"/>
              <w:rPr>
                <w:b/>
                <w:bCs/>
                <w:color w:val="000000"/>
                <w:sz w:val="24"/>
                <w:szCs w:val="24"/>
              </w:rPr>
            </w:pPr>
            <w:r w:rsidRPr="00AF7992">
              <w:rPr>
                <w:b/>
                <w:bCs/>
                <w:color w:val="000000"/>
                <w:sz w:val="24"/>
                <w:szCs w:val="24"/>
              </w:rPr>
              <w:t>Art. 208 commi 4, 5, 5bis del Decreto legislativo n. 285 del 30/04/1992 e successive modificazioni “Nuovo codice della Strada”</w:t>
            </w:r>
          </w:p>
        </w:tc>
      </w:tr>
      <w:tr w:rsidR="00AF7992" w:rsidRPr="00AF7992" w14:paraId="46F75FBA" w14:textId="77777777" w:rsidTr="00AF7992">
        <w:trPr>
          <w:trHeight w:val="5595"/>
        </w:trPr>
        <w:tc>
          <w:tcPr>
            <w:tcW w:w="9990" w:type="dxa"/>
            <w:tcBorders>
              <w:top w:val="nil"/>
              <w:left w:val="nil"/>
              <w:bottom w:val="nil"/>
              <w:right w:val="nil"/>
            </w:tcBorders>
            <w:shd w:val="clear" w:color="auto" w:fill="auto"/>
            <w:noWrap/>
            <w:vAlign w:val="center"/>
            <w:hideMark/>
          </w:tcPr>
          <w:p w14:paraId="5216924C" w14:textId="77777777" w:rsidR="00AF7992" w:rsidRPr="00AF7992" w:rsidRDefault="00AF7992" w:rsidP="00AF7992">
            <w:pPr>
              <w:jc w:val="both"/>
              <w:rPr>
                <w:color w:val="000000"/>
                <w:sz w:val="24"/>
                <w:szCs w:val="24"/>
              </w:rPr>
            </w:pPr>
            <w:r w:rsidRPr="00AF7992">
              <w:rPr>
                <w:color w:val="000000"/>
                <w:sz w:val="24"/>
                <w:szCs w:val="24"/>
              </w:rPr>
              <w:t>4. Una quota pari al 50 per cento dei proventi spettanti agli enti di cui al secondo periodo del comma 1 e' destinata: a) in misura non inferiore a un quarto della quota, a interventi di sostituzione, di ammodernamento, di potenziamento, dimessa a norma e di manutenzione della segnaletica delle strade di proprietà dell'ente; b) in misura non inferiore a un quarto della quota,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 c) ad altre finalità connesse al miglioramento della sicurezza stradale, relative alla manutenzione delle strade di proprietà dell'ente, all'installazione, all'ammodernamento, al potenziamento, alla messa a norma e alla manutenzione delle barriere e alla sistemazione del manto stradale delle medesime strade, alla redazione dei piani di cui all'articolo 36, a interventi per la sicurezza stradale a tutela degli utenti deboli, quali bambini, anziani, disabili, pedoni e ciclisti, allo svolgimento, da parte degli organi di polizia locale, nelle scuole di ogni ordine e grado, di corsi didattici finalizzati all'educazione stradale, a misure di assistenza e di previdenza per il personale di cui alle lettere d-bis) ed e) del comma 1 dell'articolo 12, alle misure di cui al comma 5-bis del presente articolo e a interventi a favore della mobilita' ciclistica.</w:t>
            </w:r>
          </w:p>
        </w:tc>
      </w:tr>
      <w:tr w:rsidR="00AF7992" w:rsidRPr="00AF7992" w14:paraId="3CA691BE" w14:textId="77777777" w:rsidTr="00AF7992">
        <w:trPr>
          <w:trHeight w:val="1335"/>
        </w:trPr>
        <w:tc>
          <w:tcPr>
            <w:tcW w:w="9990" w:type="dxa"/>
            <w:tcBorders>
              <w:top w:val="nil"/>
              <w:left w:val="nil"/>
              <w:bottom w:val="nil"/>
              <w:right w:val="nil"/>
            </w:tcBorders>
            <w:shd w:val="clear" w:color="auto" w:fill="auto"/>
            <w:noWrap/>
            <w:vAlign w:val="center"/>
            <w:hideMark/>
          </w:tcPr>
          <w:p w14:paraId="1B202E8D" w14:textId="77777777" w:rsidR="00AF7992" w:rsidRPr="00AF7992" w:rsidRDefault="00AF7992" w:rsidP="00AF7992">
            <w:pPr>
              <w:jc w:val="both"/>
              <w:rPr>
                <w:color w:val="000000"/>
                <w:sz w:val="24"/>
                <w:szCs w:val="24"/>
              </w:rPr>
            </w:pPr>
            <w:r w:rsidRPr="00AF7992">
              <w:rPr>
                <w:color w:val="000000"/>
                <w:sz w:val="24"/>
                <w:szCs w:val="24"/>
              </w:rPr>
              <w:lastRenderedPageBreak/>
              <w:t>5. Gli enti di cui al secondo periodo del comma 1 determinano annualmente, con delibera della giunta, le quote da destinare alle finalità di cui al comma 4. Resta facoltà dell'ente destinare in tutto o in parte la restante quota del 50 per cento dei proventi alle finalità di cui al citato comma 4.</w:t>
            </w:r>
          </w:p>
        </w:tc>
      </w:tr>
      <w:tr w:rsidR="00AF7992" w:rsidRPr="00AF7992" w14:paraId="61657C23" w14:textId="77777777" w:rsidTr="00AF7992">
        <w:trPr>
          <w:trHeight w:val="3285"/>
        </w:trPr>
        <w:tc>
          <w:tcPr>
            <w:tcW w:w="9990" w:type="dxa"/>
            <w:tcBorders>
              <w:top w:val="nil"/>
              <w:left w:val="nil"/>
              <w:bottom w:val="nil"/>
              <w:right w:val="nil"/>
            </w:tcBorders>
            <w:shd w:val="clear" w:color="auto" w:fill="auto"/>
            <w:noWrap/>
            <w:vAlign w:val="center"/>
            <w:hideMark/>
          </w:tcPr>
          <w:p w14:paraId="5D31FA8B" w14:textId="77777777" w:rsidR="00AF7992" w:rsidRPr="00AF7992" w:rsidRDefault="00AF7992" w:rsidP="00AF7992">
            <w:pPr>
              <w:jc w:val="both"/>
              <w:rPr>
                <w:color w:val="000000"/>
                <w:sz w:val="24"/>
                <w:szCs w:val="24"/>
              </w:rPr>
            </w:pPr>
            <w:r w:rsidRPr="00AF7992">
              <w:rPr>
                <w:color w:val="000000"/>
                <w:sz w:val="24"/>
                <w:szCs w:val="24"/>
              </w:rPr>
              <w:t>5-bis. La quota dei proventi di cui alla lettera c) del comma 4 può anche essere destinata ad assunzioni stagionali a progetto nelle forme di contratti a tempo determinato e a forme flessibili di lavoro, ovvero al finanziamento di progetti di potenziamento dei servizi di controllo finalizzati alla sicurezza urbana e alla sicurezza stradale, nonché a progetti di potenziamento dei servizi notturni e di prevenzione delle violazioni di cui agli articoli 186, 186- bis e 187 e all'acquisto di automezzi, mezzi e attrezzature dei Corpi e dei servizi di polizia provinciale e di polizia municipale di cui alle lettere d-bis) ed e) del comma 1 dell'articolo 12, destinati al potenziamento dei servizi di controllo finalizzati alla sicurezza urbana e alla sicurezza stradale”;</w:t>
            </w:r>
          </w:p>
        </w:tc>
      </w:tr>
    </w:tbl>
    <w:p w14:paraId="4CA849DC" w14:textId="21948EF4" w:rsidR="00E11C12" w:rsidRDefault="00E11C12"/>
    <w:tbl>
      <w:tblPr>
        <w:tblW w:w="9990" w:type="dxa"/>
        <w:tblInd w:w="61" w:type="dxa"/>
        <w:tblCellMar>
          <w:left w:w="70" w:type="dxa"/>
          <w:right w:w="70" w:type="dxa"/>
        </w:tblCellMar>
        <w:tblLook w:val="04A0" w:firstRow="1" w:lastRow="0" w:firstColumn="1" w:lastColumn="0" w:noHBand="0" w:noVBand="1"/>
      </w:tblPr>
      <w:tblGrid>
        <w:gridCol w:w="9990"/>
      </w:tblGrid>
      <w:tr w:rsidR="00AF7992" w:rsidRPr="00AF7992" w14:paraId="2F706AC5" w14:textId="77777777" w:rsidTr="00AF7992">
        <w:trPr>
          <w:trHeight w:val="465"/>
        </w:trPr>
        <w:tc>
          <w:tcPr>
            <w:tcW w:w="9990" w:type="dxa"/>
            <w:tcBorders>
              <w:top w:val="nil"/>
              <w:left w:val="nil"/>
              <w:bottom w:val="nil"/>
              <w:right w:val="nil"/>
            </w:tcBorders>
            <w:shd w:val="clear" w:color="auto" w:fill="auto"/>
            <w:noWrap/>
            <w:vAlign w:val="center"/>
            <w:hideMark/>
          </w:tcPr>
          <w:p w14:paraId="6F2667FE" w14:textId="77777777" w:rsidR="00AF7992" w:rsidRPr="00AF7992" w:rsidRDefault="00AF7992" w:rsidP="00AF7992">
            <w:pPr>
              <w:jc w:val="both"/>
              <w:rPr>
                <w:b/>
                <w:bCs/>
                <w:color w:val="000000"/>
                <w:sz w:val="24"/>
                <w:szCs w:val="24"/>
              </w:rPr>
            </w:pPr>
            <w:r w:rsidRPr="00AF7992">
              <w:rPr>
                <w:b/>
                <w:bCs/>
                <w:color w:val="000000"/>
                <w:sz w:val="24"/>
                <w:szCs w:val="24"/>
              </w:rPr>
              <w:t xml:space="preserve">Art. 142 che ai commi 12 ter e 12 quater </w:t>
            </w:r>
          </w:p>
        </w:tc>
      </w:tr>
      <w:tr w:rsidR="00AF7992" w:rsidRPr="00AF7992" w14:paraId="12FE540C" w14:textId="77777777" w:rsidTr="00AF7992">
        <w:trPr>
          <w:trHeight w:val="2745"/>
        </w:trPr>
        <w:tc>
          <w:tcPr>
            <w:tcW w:w="9990" w:type="dxa"/>
            <w:tcBorders>
              <w:top w:val="nil"/>
              <w:left w:val="nil"/>
              <w:bottom w:val="nil"/>
              <w:right w:val="nil"/>
            </w:tcBorders>
            <w:shd w:val="clear" w:color="auto" w:fill="auto"/>
            <w:noWrap/>
            <w:vAlign w:val="center"/>
            <w:hideMark/>
          </w:tcPr>
          <w:p w14:paraId="06BCC5D6" w14:textId="77777777" w:rsidR="00AF7992" w:rsidRPr="00AF7992" w:rsidRDefault="00AF7992" w:rsidP="00AF7992">
            <w:pPr>
              <w:jc w:val="both"/>
              <w:rPr>
                <w:color w:val="000000"/>
                <w:sz w:val="24"/>
                <w:szCs w:val="24"/>
              </w:rPr>
            </w:pPr>
            <w:r w:rsidRPr="00AF7992">
              <w:rPr>
                <w:color w:val="000000"/>
                <w:sz w:val="24"/>
                <w:szCs w:val="24"/>
              </w:rPr>
              <w:t>“12-ter. Gli enti di cui al comma 12-bis destinano le somme derivanti dall'attribuzione delle quote dei proventi delle sanzioni amministrative pecuniarie di cui al medesimo comma alla realizzazione di interventi di manutenzione e messa in sicurezza delle infrastrutture stradali, ivi comprese la segnaletica e le barriere, e dei relativi impianti, nonché al potenziamento delle attività di controllo e di accertamento delle violazioni in materia di circolazione stradale, ivi comprese le spese relative al personale, nel rispetto della normativa vigente relativa al contenimento delle spese in materia di pubblico impiego e al patto di stabilita' interno.</w:t>
            </w:r>
          </w:p>
        </w:tc>
      </w:tr>
      <w:tr w:rsidR="00AF7992" w:rsidRPr="00AF7992" w14:paraId="72FB9803" w14:textId="77777777" w:rsidTr="00AF7992">
        <w:trPr>
          <w:trHeight w:val="4260"/>
        </w:trPr>
        <w:tc>
          <w:tcPr>
            <w:tcW w:w="9990" w:type="dxa"/>
            <w:tcBorders>
              <w:top w:val="nil"/>
              <w:left w:val="nil"/>
              <w:bottom w:val="nil"/>
              <w:right w:val="nil"/>
            </w:tcBorders>
            <w:shd w:val="clear" w:color="auto" w:fill="auto"/>
            <w:noWrap/>
            <w:vAlign w:val="center"/>
            <w:hideMark/>
          </w:tcPr>
          <w:p w14:paraId="41EB17C4" w14:textId="77777777" w:rsidR="00AF7992" w:rsidRPr="00AF7992" w:rsidRDefault="00AF7992" w:rsidP="00AF7992">
            <w:pPr>
              <w:jc w:val="both"/>
              <w:rPr>
                <w:color w:val="000000"/>
                <w:sz w:val="24"/>
                <w:szCs w:val="24"/>
              </w:rPr>
            </w:pPr>
            <w:r w:rsidRPr="00AF7992">
              <w:rPr>
                <w:color w:val="000000"/>
                <w:sz w:val="24"/>
                <w:szCs w:val="24"/>
              </w:rPr>
              <w:t xml:space="preserve">12-quater. Ciascun ente locale trasmette in via informatica al Ministero delle infrastrutture e dei trasporti ed al Ministero dell'interno, entro il 31 maggio di ogni anno, una relazione in cui sono indicati, con riferimento all'anno precedente, l'ammontare complessivo dei proventi di propria spettanza di cui al comma 1 dell'articolo 208 e al comma 12-bis del presente articolo, come risultante da rendiconto approvato nel medesimo anno, e gli interventi realizzati a valere su tali risorse, con la specificazione degli oneri sostenuti per ciascun intervento. La percentuale dei proventi spettanti ai sensi del comma 12-bis </w:t>
            </w:r>
            <w:proofErr w:type="gramStart"/>
            <w:r w:rsidRPr="00AF7992">
              <w:rPr>
                <w:color w:val="000000"/>
                <w:sz w:val="24"/>
                <w:szCs w:val="24"/>
              </w:rPr>
              <w:t>e'</w:t>
            </w:r>
            <w:proofErr w:type="gramEnd"/>
            <w:r w:rsidRPr="00AF7992">
              <w:rPr>
                <w:color w:val="000000"/>
                <w:sz w:val="24"/>
                <w:szCs w:val="24"/>
              </w:rPr>
              <w:t xml:space="preserve"> ridotta del 90 per cento annuo nei confronti dell'ente che non trasmetta la relazione di cui al periodo precedente, ovvero che utilizzi i proventi di cui al primo periodo in modo difforme da quanto previsto dal comma 4 dell'articolo 208 e dal comma 12-ter del presente articolo, per ciascun anno per il quale sia riscontrata una delle predette inadempienze. Le inadempienze di cui al periodo precedente rilevano ai fini della responsabilità disciplinare e per danno erariale e devono essere segnalate tempestivamente al procuratore regionale della Corte dei conti”;</w:t>
            </w:r>
          </w:p>
        </w:tc>
      </w:tr>
      <w:tr w:rsidR="00AF7992" w:rsidRPr="00AF7992" w14:paraId="5970D4CA" w14:textId="77777777" w:rsidTr="00AF7992">
        <w:trPr>
          <w:trHeight w:val="300"/>
        </w:trPr>
        <w:tc>
          <w:tcPr>
            <w:tcW w:w="9990" w:type="dxa"/>
            <w:tcBorders>
              <w:top w:val="nil"/>
              <w:left w:val="nil"/>
              <w:bottom w:val="nil"/>
              <w:right w:val="nil"/>
            </w:tcBorders>
            <w:shd w:val="clear" w:color="auto" w:fill="auto"/>
            <w:noWrap/>
            <w:vAlign w:val="bottom"/>
            <w:hideMark/>
          </w:tcPr>
          <w:p w14:paraId="390394D0" w14:textId="77777777" w:rsidR="00AF7992" w:rsidRPr="00AF7992" w:rsidRDefault="00AF7992" w:rsidP="00AF7992">
            <w:pPr>
              <w:rPr>
                <w:rFonts w:ascii="Calibri" w:hAnsi="Calibri"/>
                <w:color w:val="000000"/>
                <w:sz w:val="22"/>
                <w:szCs w:val="22"/>
              </w:rPr>
            </w:pPr>
          </w:p>
        </w:tc>
      </w:tr>
    </w:tbl>
    <w:p w14:paraId="58A0326E" w14:textId="77777777" w:rsidR="004A663E" w:rsidRDefault="004A663E" w:rsidP="00514CB5">
      <w:pPr>
        <w:spacing w:before="100" w:beforeAutospacing="1" w:after="100" w:afterAutospacing="1" w:line="360" w:lineRule="auto"/>
        <w:jc w:val="center"/>
      </w:pPr>
    </w:p>
    <w:sectPr w:rsidR="004A663E" w:rsidSect="00514CB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0D9B" w14:textId="77777777" w:rsidR="00E003D1" w:rsidRDefault="00E003D1" w:rsidP="00762AEC">
      <w:r>
        <w:separator/>
      </w:r>
    </w:p>
  </w:endnote>
  <w:endnote w:type="continuationSeparator" w:id="0">
    <w:p w14:paraId="6E068105" w14:textId="77777777" w:rsidR="00E003D1" w:rsidRDefault="00E003D1" w:rsidP="007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2538" w14:textId="77777777" w:rsidR="00762AEC" w:rsidRDefault="00762A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04E7" w14:textId="77777777" w:rsidR="00762AEC" w:rsidRDefault="00762A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3CF9" w14:textId="77777777" w:rsidR="00762AEC" w:rsidRDefault="00762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93633" w14:textId="77777777" w:rsidR="00E003D1" w:rsidRDefault="00E003D1" w:rsidP="00762AEC">
      <w:r>
        <w:separator/>
      </w:r>
    </w:p>
  </w:footnote>
  <w:footnote w:type="continuationSeparator" w:id="0">
    <w:p w14:paraId="1EC70431" w14:textId="77777777" w:rsidR="00E003D1" w:rsidRDefault="00E003D1" w:rsidP="0076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BCAE" w14:textId="77777777" w:rsidR="00762AEC" w:rsidRDefault="00762A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23719"/>
      <w:docPartObj>
        <w:docPartGallery w:val="Watermarks"/>
        <w:docPartUnique/>
      </w:docPartObj>
    </w:sdtPr>
    <w:sdtEndPr/>
    <w:sdtContent>
      <w:p w14:paraId="1CA0AB5C" w14:textId="0E0D7F3C" w:rsidR="00762AEC" w:rsidRDefault="00E003D1">
        <w:pPr>
          <w:pStyle w:val="Intestazione"/>
        </w:pPr>
        <w:r>
          <w:pict w14:anchorId="0F5ED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9C2E" w14:textId="77777777" w:rsidR="00762AEC" w:rsidRDefault="00762A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0"/>
  </w:num>
  <w:num w:numId="5">
    <w:abstractNumId w:val="21"/>
  </w:num>
  <w:num w:numId="6">
    <w:abstractNumId w:val="11"/>
  </w:num>
  <w:num w:numId="7">
    <w:abstractNumId w:val="0"/>
  </w:num>
  <w:num w:numId="8">
    <w:abstractNumId w:val="1"/>
  </w:num>
  <w:num w:numId="9">
    <w:abstractNumId w:val="13"/>
  </w:num>
  <w:num w:numId="10">
    <w:abstractNumId w:val="12"/>
  </w:num>
  <w:num w:numId="11">
    <w:abstractNumId w:val="15"/>
  </w:num>
  <w:num w:numId="12">
    <w:abstractNumId w:val="6"/>
  </w:num>
  <w:num w:numId="13">
    <w:abstractNumId w:val="3"/>
  </w:num>
  <w:num w:numId="14">
    <w:abstractNumId w:val="22"/>
  </w:num>
  <w:num w:numId="15">
    <w:abstractNumId w:val="4"/>
  </w:num>
  <w:num w:numId="16">
    <w:abstractNumId w:val="25"/>
  </w:num>
  <w:num w:numId="17">
    <w:abstractNumId w:val="14"/>
  </w:num>
  <w:num w:numId="18">
    <w:abstractNumId w:val="10"/>
  </w:num>
  <w:num w:numId="19">
    <w:abstractNumId w:val="17"/>
  </w:num>
  <w:num w:numId="20">
    <w:abstractNumId w:val="2"/>
  </w:num>
  <w:num w:numId="21">
    <w:abstractNumId w:val="23"/>
  </w:num>
  <w:num w:numId="22">
    <w:abstractNumId w:val="18"/>
  </w:num>
  <w:num w:numId="23">
    <w:abstractNumId w:val="24"/>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EFB"/>
    <w:rsid w:val="000040AB"/>
    <w:rsid w:val="00005F45"/>
    <w:rsid w:val="000A7F37"/>
    <w:rsid w:val="000B1C23"/>
    <w:rsid w:val="000C4064"/>
    <w:rsid w:val="00104E8C"/>
    <w:rsid w:val="0010705A"/>
    <w:rsid w:val="00135207"/>
    <w:rsid w:val="00141DC1"/>
    <w:rsid w:val="00191A68"/>
    <w:rsid w:val="001D5AF8"/>
    <w:rsid w:val="00216361"/>
    <w:rsid w:val="00227EFB"/>
    <w:rsid w:val="002472C6"/>
    <w:rsid w:val="002479C7"/>
    <w:rsid w:val="002B281A"/>
    <w:rsid w:val="002B3C58"/>
    <w:rsid w:val="002D2425"/>
    <w:rsid w:val="002E02AE"/>
    <w:rsid w:val="002E14EB"/>
    <w:rsid w:val="003017BE"/>
    <w:rsid w:val="003120C4"/>
    <w:rsid w:val="00316930"/>
    <w:rsid w:val="00345CF7"/>
    <w:rsid w:val="00364B15"/>
    <w:rsid w:val="00386017"/>
    <w:rsid w:val="003B08CF"/>
    <w:rsid w:val="003D67F2"/>
    <w:rsid w:val="00404733"/>
    <w:rsid w:val="004267A7"/>
    <w:rsid w:val="0044723D"/>
    <w:rsid w:val="004A663E"/>
    <w:rsid w:val="004B2A18"/>
    <w:rsid w:val="004F6DC1"/>
    <w:rsid w:val="004F7CAA"/>
    <w:rsid w:val="00514CB5"/>
    <w:rsid w:val="00545665"/>
    <w:rsid w:val="005812CD"/>
    <w:rsid w:val="005E1D88"/>
    <w:rsid w:val="00652BD1"/>
    <w:rsid w:val="00657F77"/>
    <w:rsid w:val="006C4A6B"/>
    <w:rsid w:val="006C521D"/>
    <w:rsid w:val="00725D13"/>
    <w:rsid w:val="00740D40"/>
    <w:rsid w:val="00762AEC"/>
    <w:rsid w:val="00786909"/>
    <w:rsid w:val="00795C3F"/>
    <w:rsid w:val="007A1CEA"/>
    <w:rsid w:val="007B5226"/>
    <w:rsid w:val="007F02E7"/>
    <w:rsid w:val="00802D40"/>
    <w:rsid w:val="008230A8"/>
    <w:rsid w:val="00864F79"/>
    <w:rsid w:val="0087468C"/>
    <w:rsid w:val="00903BE4"/>
    <w:rsid w:val="00905468"/>
    <w:rsid w:val="00950B80"/>
    <w:rsid w:val="009517DE"/>
    <w:rsid w:val="00987BAC"/>
    <w:rsid w:val="0099270A"/>
    <w:rsid w:val="0099702D"/>
    <w:rsid w:val="009D2498"/>
    <w:rsid w:val="009D772A"/>
    <w:rsid w:val="009E1292"/>
    <w:rsid w:val="00A17C3E"/>
    <w:rsid w:val="00A56E86"/>
    <w:rsid w:val="00A8547D"/>
    <w:rsid w:val="00AA733E"/>
    <w:rsid w:val="00AC2ED9"/>
    <w:rsid w:val="00AC732C"/>
    <w:rsid w:val="00AF7992"/>
    <w:rsid w:val="00B22885"/>
    <w:rsid w:val="00B30D36"/>
    <w:rsid w:val="00B76D21"/>
    <w:rsid w:val="00B8307D"/>
    <w:rsid w:val="00BE0630"/>
    <w:rsid w:val="00C34E86"/>
    <w:rsid w:val="00C36ABD"/>
    <w:rsid w:val="00C75CF4"/>
    <w:rsid w:val="00C9567A"/>
    <w:rsid w:val="00CB1E36"/>
    <w:rsid w:val="00CC332D"/>
    <w:rsid w:val="00CF690C"/>
    <w:rsid w:val="00D4030C"/>
    <w:rsid w:val="00D4523A"/>
    <w:rsid w:val="00D50BA1"/>
    <w:rsid w:val="00D77708"/>
    <w:rsid w:val="00D93FAC"/>
    <w:rsid w:val="00DA6C6D"/>
    <w:rsid w:val="00E003D1"/>
    <w:rsid w:val="00E11C12"/>
    <w:rsid w:val="00E158E7"/>
    <w:rsid w:val="00E15E90"/>
    <w:rsid w:val="00E17760"/>
    <w:rsid w:val="00E17FE6"/>
    <w:rsid w:val="00E431BC"/>
    <w:rsid w:val="00E53BC5"/>
    <w:rsid w:val="00E56E02"/>
    <w:rsid w:val="00EA47E1"/>
    <w:rsid w:val="00EA5C69"/>
    <w:rsid w:val="00EC7D1E"/>
    <w:rsid w:val="00ED2FA8"/>
    <w:rsid w:val="00ED383F"/>
    <w:rsid w:val="00EF2114"/>
    <w:rsid w:val="00F21619"/>
    <w:rsid w:val="00F360F4"/>
    <w:rsid w:val="00F41169"/>
    <w:rsid w:val="00F41CC3"/>
    <w:rsid w:val="00F631CC"/>
    <w:rsid w:val="00F70F7B"/>
    <w:rsid w:val="00F8644E"/>
    <w:rsid w:val="00F872D3"/>
    <w:rsid w:val="00F94409"/>
    <w:rsid w:val="00F97FDB"/>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E416E"/>
  <w15:docId w15:val="{DC6EF038-9CE0-4701-9A96-42B4DE68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762AEC"/>
    <w:pPr>
      <w:tabs>
        <w:tab w:val="center" w:pos="4819"/>
        <w:tab w:val="right" w:pos="9638"/>
      </w:tabs>
    </w:pPr>
  </w:style>
  <w:style w:type="character" w:customStyle="1" w:styleId="IntestazioneCarattere">
    <w:name w:val="Intestazione Carattere"/>
    <w:basedOn w:val="Carpredefinitoparagrafo"/>
    <w:link w:val="Intestazione"/>
    <w:uiPriority w:val="99"/>
    <w:rsid w:val="00762AE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62AEC"/>
    <w:pPr>
      <w:tabs>
        <w:tab w:val="center" w:pos="4819"/>
        <w:tab w:val="right" w:pos="9638"/>
      </w:tabs>
    </w:pPr>
  </w:style>
  <w:style w:type="character" w:customStyle="1" w:styleId="PidipaginaCarattere">
    <w:name w:val="Piè di pagina Carattere"/>
    <w:basedOn w:val="Carpredefinitoparagrafo"/>
    <w:link w:val="Pidipagina"/>
    <w:uiPriority w:val="99"/>
    <w:rsid w:val="00762AE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5430">
      <w:bodyDiv w:val="1"/>
      <w:marLeft w:val="0"/>
      <w:marRight w:val="0"/>
      <w:marTop w:val="0"/>
      <w:marBottom w:val="0"/>
      <w:divBdr>
        <w:top w:val="none" w:sz="0" w:space="0" w:color="auto"/>
        <w:left w:val="none" w:sz="0" w:space="0" w:color="auto"/>
        <w:bottom w:val="none" w:sz="0" w:space="0" w:color="auto"/>
        <w:right w:val="none" w:sz="0" w:space="0" w:color="auto"/>
      </w:divBdr>
    </w:div>
    <w:div w:id="357514126">
      <w:bodyDiv w:val="1"/>
      <w:marLeft w:val="0"/>
      <w:marRight w:val="0"/>
      <w:marTop w:val="0"/>
      <w:marBottom w:val="0"/>
      <w:divBdr>
        <w:top w:val="none" w:sz="0" w:space="0" w:color="auto"/>
        <w:left w:val="none" w:sz="0" w:space="0" w:color="auto"/>
        <w:bottom w:val="none" w:sz="0" w:space="0" w:color="auto"/>
        <w:right w:val="none" w:sz="0" w:space="0" w:color="auto"/>
      </w:divBdr>
    </w:div>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4800">
      <w:bodyDiv w:val="1"/>
      <w:marLeft w:val="0"/>
      <w:marRight w:val="0"/>
      <w:marTop w:val="0"/>
      <w:marBottom w:val="0"/>
      <w:divBdr>
        <w:top w:val="none" w:sz="0" w:space="0" w:color="auto"/>
        <w:left w:val="none" w:sz="0" w:space="0" w:color="auto"/>
        <w:bottom w:val="none" w:sz="0" w:space="0" w:color="auto"/>
        <w:right w:val="none" w:sz="0" w:space="0" w:color="auto"/>
      </w:divBdr>
    </w:div>
    <w:div w:id="1140466478">
      <w:bodyDiv w:val="1"/>
      <w:marLeft w:val="0"/>
      <w:marRight w:val="0"/>
      <w:marTop w:val="0"/>
      <w:marBottom w:val="0"/>
      <w:divBdr>
        <w:top w:val="none" w:sz="0" w:space="0" w:color="auto"/>
        <w:left w:val="none" w:sz="0" w:space="0" w:color="auto"/>
        <w:bottom w:val="none" w:sz="0" w:space="0" w:color="auto"/>
        <w:right w:val="none" w:sz="0" w:space="0" w:color="auto"/>
      </w:divBdr>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817AD-61F5-48C3-AE69-86232031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1223</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20</cp:revision>
  <cp:lastPrinted>2020-05-21T19:39:00Z</cp:lastPrinted>
  <dcterms:created xsi:type="dcterms:W3CDTF">2019-11-17T10:46:00Z</dcterms:created>
  <dcterms:modified xsi:type="dcterms:W3CDTF">2020-06-09T15:48:00Z</dcterms:modified>
</cp:coreProperties>
</file>